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80"/>
      </w:pPr>
    </w:p>
    <w:p>
      <w:r>
        <w:rPr>
          <w:b/>
          <w:color w:val="2E74B5"/>
          <w:sz w:val="20"/>
        </w:rPr>
        <w:t>PUBLIC, GENERAL-USE TEMPLATE</w:t>
      </w:r>
    </w:p>
    <w:p>
      <w:pPr>
        <w:pStyle w:val="Title"/>
      </w:pPr>
      <w:r>
        <w:t>Copyright Image Claim</w:t>
        <w:br/>
        <w:t>Response Toolkit</w:t>
      </w:r>
    </w:p>
    <w:p>
      <w:pPr>
        <w:pStyle w:val="Subtitle"/>
      </w:pPr>
      <w:r>
        <w:t>Evidence preservation, sender verification, assessment worksheet, claim substantiation gate, and no-admission response letter — from ImageClaimResponse.org</w:t>
      </w:r>
    </w:p>
    <w:p>
      <w:pPr>
        <w:keepLines/>
      </w:pPr>
      <w:r>
        <w:rPr>
          <w:b/>
          <w:color w:val="B42318"/>
        </w:rPr>
        <w:t>GENERAL INFORMATION — NOT LEGAL ADVICE. Customize every statement and obtain qualified legal review before sending.</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FFF7E6"/>
            <w:tcMar>
              <w:top w:w="80" w:type="dxa"/>
              <w:start w:w="120" w:type="dxa"/>
              <w:bottom w:w="80" w:type="dxa"/>
              <w:end w:w="120" w:type="dxa"/>
            </w:tcMar>
            <w:vAlign w:val="top"/>
          </w:tcPr>
          <w:p>
            <w:r/>
            <w:r>
              <w:rPr>
                <w:b/>
                <w:color w:val="B42318"/>
              </w:rPr>
              <w:t>Important limitation</w:t>
            </w:r>
            <w:r>
              <w:br/>
              <w:t>This template is general educational information, not legal advice, and not a substitute for advice from a qualified lawyer. Using it does not create an attorney-client relationship and does not guarantee any result. Copyright rules, deadlines, procedures, and defenses vary by country and facts. Do not ignore a lawsuit, subpoena, court deadline, Copyright Claims Board matter, or formal service.</w:t>
            </w:r>
          </w:p>
        </w:tc>
      </w:tr>
    </w:tbl>
    <w:p>
      <w:pPr>
        <w:spacing w:after="0"/>
      </w:pPr>
    </w:p>
    <w:p>
      <w:pPr>
        <w:keepLines/>
      </w:pPr>
      <w:r>
        <w:t>Designed for website operators, publishers, bloggers, aggregators, nonprofits, and small businesses responding to an unsolicited image copyright demand.</w:t>
      </w:r>
    </w:p>
    <w:p>
      <w:pPr>
        <w:pStyle w:val="SmallText"/>
        <w:keepLines/>
      </w:pPr>
      <w:r>
        <w:t>License: CC BY 4.0 for the educational content and template text (attribution to ImageClaimResponse.org); MIT for any included code. Third-party photographs, logos, trademarks, and quoted third-party text are excluded. No warranty is provided.</w:t>
      </w:r>
    </w:p>
    <w:p>
      <w:pPr>
        <w:sectPr>
          <w:footerReference w:type="default" r:id="rId32"/>
          <w:headerReference w:type="default" r:id="rId45"/>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1. How to use this toolkit</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EAF2F8"/>
            <w:tcMar>
              <w:top w:w="80" w:type="dxa"/>
              <w:start w:w="120" w:type="dxa"/>
              <w:bottom w:w="80" w:type="dxa"/>
              <w:end w:w="120" w:type="dxa"/>
            </w:tcMar>
            <w:vAlign w:val="top"/>
          </w:tcPr>
          <w:p>
            <w:r/>
            <w:r>
              <w:rPr>
                <w:b/>
                <w:color w:val="1F4D78"/>
              </w:rPr>
              <w:t>Core principle</w:t>
            </w:r>
            <w:r>
              <w:br/>
              <w:t>A snippet, thumbnail, social-preview image, or aggregated card is not automatically lawful or unlawful. The result depends on the rights, license, technical delivery route, purpose, amount used, market effect, jurisdiction, and available remedies.</w:t>
            </w:r>
          </w:p>
        </w:tc>
      </w:tr>
    </w:tbl>
    <w:p>
      <w:pPr>
        <w:spacing w:after="0"/>
      </w:pPr>
    </w:p>
    <w:p>
      <w:pPr>
        <w:pStyle w:val="ListNumber"/>
        <w:keepLines/>
        <w:spacing w:after="140"/>
      </w:pPr>
      <w:r>
        <w:t>Preserve the page, source code, network records, and demand before changing anything.</w:t>
      </w:r>
    </w:p>
    <w:p>
      <w:pPr>
        <w:pStyle w:val="ListNumber"/>
        <w:keepLines/>
        <w:spacing w:after="140"/>
      </w:pPr>
      <w:r>
        <w:t>Identify whether the image was uploaded, cached, proxied, hotlinked, or rendered by a platform embed.</w:t>
      </w:r>
    </w:p>
    <w:p>
      <w:pPr>
        <w:pStyle w:val="ListNumber"/>
        <w:keepLines/>
        <w:spacing w:after="140"/>
      </w:pPr>
      <w:r>
        <w:t>Verify the claimant's ownership, authority, registration, work identity, and damages theory.</w:t>
      </w:r>
    </w:p>
    <w:p>
      <w:pPr>
        <w:pStyle w:val="ListNumber"/>
        <w:keepLines/>
        <w:spacing w:after="140"/>
      </w:pPr>
      <w:r>
        <w:t>Assess defenses with counsel where the amount, deadline, or litigation risk justifies it.</w:t>
      </w:r>
    </w:p>
    <w:p>
      <w:pPr>
        <w:pStyle w:val="ListNumber"/>
        <w:keepLines/>
        <w:spacing w:after="140"/>
      </w:pPr>
      <w:r>
        <w:t>Respond calmly, reserve rights, request substantiation, and avoid unnecessary admissions.</w:t>
      </w:r>
    </w:p>
    <w:p>
      <w:pPr>
        <w:pStyle w:val="Heading2"/>
      </w:pPr>
      <w:r>
        <w:t>Immediate triage</w:t>
      </w:r>
    </w:p>
    <w:tbl>
      <w:tblPr>
        <w:tblStyle w:val="TableGrid"/>
        <w:tblW w:type="dxa" w:w="9360"/>
        <w:jc w:val="left"/>
        <w:tblLayout w:type="fixed"/>
        <w:tblLook w:firstColumn="1" w:firstRow="1" w:lastColumn="0" w:lastRow="0" w:noHBand="0" w:noVBand="1" w:val="04A0"/>
      </w:tblPr>
      <w:tblGrid>
        <w:gridCol w:w="2600"/>
        <w:gridCol w:w="6760"/>
      </w:tblGrid>
      <w:tr>
        <w:trPr>
          <w:cantSplit/>
          <w:tblHeader w:val="true"/>
        </w:trPr>
        <w:tc>
          <w:tcPr>
            <w:tcW w:type="dxa" w:w="2600"/>
            <w:shd w:fill="F2F4F7"/>
            <w:tcMar>
              <w:top w:w="80" w:type="dxa"/>
              <w:start w:w="120" w:type="dxa"/>
              <w:bottom w:w="80" w:type="dxa"/>
              <w:end w:w="120" w:type="dxa"/>
            </w:tcMar>
            <w:vAlign w:val="top"/>
          </w:tcPr>
          <w:p>
            <w:r>
              <w:rPr>
                <w:b/>
              </w:rPr>
              <w:t>If formal court papers arrived</w:t>
            </w:r>
          </w:p>
        </w:tc>
        <w:tc>
          <w:tcPr>
            <w:tcW w:type="dxa" w:w="6760"/>
            <w:tcMar>
              <w:top w:w="80" w:type="dxa"/>
              <w:start w:w="120" w:type="dxa"/>
              <w:bottom w:w="80" w:type="dxa"/>
              <w:end w:w="120" w:type="dxa"/>
            </w:tcMar>
            <w:vAlign w:val="top"/>
          </w:tcPr>
          <w:p>
            <w:r>
              <w:t>Calendar the deadline and contact qualified counsel immediately.</w:t>
            </w:r>
          </w:p>
        </w:tc>
      </w:tr>
      <w:tr>
        <w:trPr>
          <w:cantSplit/>
        </w:trPr>
        <w:tc>
          <w:tcPr>
            <w:tcW w:type="dxa" w:w="2600"/>
            <w:shd w:fill="F2F4F7"/>
            <w:tcMar>
              <w:top w:w="80" w:type="dxa"/>
              <w:start w:w="120" w:type="dxa"/>
              <w:bottom w:w="80" w:type="dxa"/>
              <w:end w:w="120" w:type="dxa"/>
            </w:tcMar>
            <w:vAlign w:val="top"/>
          </w:tcPr>
          <w:p>
            <w:r>
              <w:rPr>
                <w:b/>
              </w:rPr>
              <w:t>If a Copyright Claims Board claim arrived</w:t>
            </w:r>
          </w:p>
        </w:tc>
        <w:tc>
          <w:tcPr>
            <w:tcW w:type="dxa" w:w="6760"/>
            <w:tcMar>
              <w:top w:w="80" w:type="dxa"/>
              <w:start w:w="120" w:type="dxa"/>
              <w:bottom w:w="80" w:type="dxa"/>
              <w:end w:w="120" w:type="dxa"/>
            </w:tcMar>
            <w:vAlign w:val="top"/>
          </w:tcPr>
          <w:p>
            <w:r>
              <w:t>A CCB matter has official service, opt-out, and response deadlines. Verify it on the CCB docket and get advice promptly — do not treat it as an ordinary demand.</w:t>
            </w:r>
          </w:p>
        </w:tc>
      </w:tr>
      <w:tr>
        <w:trPr>
          <w:cantSplit/>
        </w:trPr>
        <w:tc>
          <w:tcPr>
            <w:tcW w:type="dxa" w:w="2600"/>
            <w:shd w:fill="F2F4F7"/>
            <w:tcMar>
              <w:top w:w="80" w:type="dxa"/>
              <w:start w:w="120" w:type="dxa"/>
              <w:bottom w:w="80" w:type="dxa"/>
              <w:end w:w="120" w:type="dxa"/>
            </w:tcMar>
            <w:vAlign w:val="top"/>
          </w:tcPr>
          <w:p>
            <w:r>
              <w:rPr>
                <w:b/>
              </w:rPr>
              <w:t>If only an ordinary pre-suit demand arrived</w:t>
            </w:r>
          </w:p>
        </w:tc>
        <w:tc>
          <w:tcPr>
            <w:tcW w:type="dxa" w:w="6760"/>
            <w:tcMar>
              <w:top w:w="80" w:type="dxa"/>
              <w:start w:w="120" w:type="dxa"/>
              <w:bottom w:w="80" w:type="dxa"/>
              <w:end w:w="120" w:type="dxa"/>
            </w:tcMar>
            <w:vAlign w:val="top"/>
          </w:tcPr>
          <w:p>
            <w:r>
              <w:t>Preserve evidence, check the stated response date, and assess before paying or admitting liability. An ordinary pre-suit demand is an allegation, not a judgment.</w:t>
            </w:r>
          </w:p>
        </w:tc>
      </w:tr>
      <w:tr>
        <w:trPr>
          <w:cantSplit/>
        </w:trPr>
        <w:tc>
          <w:tcPr>
            <w:tcW w:type="dxa" w:w="2600"/>
            <w:shd w:fill="F2F4F7"/>
            <w:tcMar>
              <w:top w:w="80" w:type="dxa"/>
              <w:start w:w="120" w:type="dxa"/>
              <w:bottom w:w="80" w:type="dxa"/>
              <w:end w:w="120" w:type="dxa"/>
            </w:tcMar>
            <w:vAlign w:val="top"/>
          </w:tcPr>
          <w:p>
            <w:r>
              <w:rPr>
                <w:b/>
              </w:rPr>
              <w:t>If the image is still live</w:t>
            </w:r>
          </w:p>
        </w:tc>
        <w:tc>
          <w:tcPr>
            <w:tcW w:type="dxa" w:w="6760"/>
            <w:tcMar>
              <w:top w:w="80" w:type="dxa"/>
              <w:start w:w="120" w:type="dxa"/>
              <w:bottom w:w="80" w:type="dxa"/>
              <w:end w:w="120" w:type="dxa"/>
            </w:tcMar>
            <w:vAlign w:val="top"/>
          </w:tcPr>
          <w:p>
            <w:r>
              <w:t>Preserve first. Then consider disabling the image while keeping the headline and source link, without admitting liability, if appropriate.</w:t>
            </w:r>
          </w:p>
        </w:tc>
      </w:tr>
      <w:tr>
        <w:trPr>
          <w:cantSplit/>
        </w:trPr>
        <w:tc>
          <w:tcPr>
            <w:tcW w:type="dxa" w:w="2600"/>
            <w:shd w:fill="F2F4F7"/>
            <w:tcMar>
              <w:top w:w="80" w:type="dxa"/>
              <w:start w:w="120" w:type="dxa"/>
              <w:bottom w:w="80" w:type="dxa"/>
              <w:end w:w="120" w:type="dxa"/>
            </w:tcMar>
            <w:vAlign w:val="top"/>
          </w:tcPr>
          <w:p>
            <w:r>
              <w:rPr>
                <w:b/>
              </w:rPr>
              <w:t>If a vendor or user supplied it</w:t>
            </w:r>
          </w:p>
        </w:tc>
        <w:tc>
          <w:tcPr>
            <w:tcW w:type="dxa" w:w="6760"/>
            <w:tcMar>
              <w:top w:w="80" w:type="dxa"/>
              <w:start w:w="120" w:type="dxa"/>
              <w:bottom w:w="80" w:type="dxa"/>
              <w:end w:w="120" w:type="dxa"/>
            </w:tcMar>
            <w:vAlign w:val="top"/>
          </w:tcPr>
          <w:p>
            <w:r>
              <w:t>Preserve contracts, upload logs, notices, and indemnity terms; do not assume that ends the analysis.</w:t>
            </w:r>
          </w:p>
        </w:tc>
      </w:tr>
    </w:tbl>
    <w:p>
      <w:pPr>
        <w:spacing w:after="0"/>
      </w:pPr>
    </w:p>
    <w:p>
      <w:pPr>
        <w:sectPr>
          <w:headerReference w:type="default" r:id="rId46"/>
          <w:footerReference w:type="default" r:id="rId47"/>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2. Verify the sender before paying anything</w:t>
      </w:r>
    </w:p>
    <w:p>
      <w:pPr>
        <w:keepLines/>
      </w:pPr>
      <w:r>
        <w:t>Image demands are often mass-generated, and impersonation scams copy their format. Verify the sender independently before paying, replying with facts, or clicking portal links. A legitimate sender survives verification; missing evidence alone does not prove fraud — but unverified payment instructions should never be paid.</w:t>
      </w:r>
    </w:p>
    <w:p>
      <w:pPr>
        <w:keepLines/>
        <w:spacing w:after="60" w:line="240" w:lineRule="auto"/>
        <w:ind w:left="360" w:hanging="360"/>
      </w:pPr>
      <w:r>
        <w:rPr>
          <w:sz w:val="20"/>
        </w:rPr>
        <w:t>☐ Preserve the original message: full headers, attachments, envelope, portal URL, invoice, reference number, and payment instructions.</w:t>
      </w:r>
    </w:p>
    <w:p>
      <w:pPr>
        <w:keepLines/>
        <w:spacing w:after="60" w:line="240" w:lineRule="auto"/>
        <w:ind w:left="360" w:hanging="360"/>
      </w:pPr>
      <w:r>
        <w:rPr>
          <w:sz w:val="20"/>
        </w:rPr>
        <w:t>☐ Verify the sender independently — find the purported organization through an independent source, not the contact details inside the demand.</w:t>
      </w:r>
    </w:p>
    <w:p>
      <w:pPr>
        <w:keepLines/>
        <w:spacing w:after="60" w:line="240" w:lineRule="auto"/>
        <w:ind w:left="360" w:hanging="360"/>
      </w:pPr>
      <w:r>
        <w:rPr>
          <w:sz w:val="20"/>
        </w:rPr>
        <w:t>☐ Inspect the domain and email for misspellings, look-alike characters, new domains, odd reply-to addresses, and payment-recipient mismatches.</w:t>
      </w:r>
    </w:p>
    <w:p>
      <w:pPr>
        <w:keepLines/>
        <w:spacing w:after="60" w:line="240" w:lineRule="auto"/>
        <w:ind w:left="360" w:hanging="360"/>
      </w:pPr>
      <w:r>
        <w:rPr>
          <w:sz w:val="20"/>
        </w:rPr>
        <w:t>☐ Verify the claimant and representative: owner identity, claimed work, chain of title, registration information, and written authority to settle.</w:t>
      </w:r>
    </w:p>
    <w:p>
      <w:pPr>
        <w:keepLines/>
        <w:spacing w:after="60" w:line="240" w:lineRule="auto"/>
        <w:ind w:left="360" w:hanging="360"/>
      </w:pPr>
      <w:r>
        <w:rPr>
          <w:sz w:val="20"/>
        </w:rPr>
        <w:t>☐ Verify any lawyer through the firm's official contact information and the applicable bar directory.</w:t>
      </w:r>
    </w:p>
    <w:p>
      <w:pPr>
        <w:keepLines/>
        <w:spacing w:after="60" w:line="240" w:lineRule="auto"/>
        <w:ind w:left="360" w:hanging="360"/>
      </w:pPr>
      <w:r>
        <w:rPr>
          <w:sz w:val="20"/>
        </w:rPr>
        <w:t>☐ Search the Copyright Office public records (copyright.gov/public-records) for the claimed work and registration.</w:t>
      </w:r>
    </w:p>
    <w:p>
      <w:pPr>
        <w:keepLines/>
        <w:spacing w:after="60" w:line="240" w:lineRule="auto"/>
        <w:ind w:left="360" w:hanging="360"/>
      </w:pPr>
      <w:r>
        <w:rPr>
          <w:sz w:val="20"/>
        </w:rPr>
        <w:t>☐ Verify payment instructions independently. Treat cryptocurrency, gift cards, personal money-transfer accounts, or unrelated recipients as serious warning signs.</w:t>
      </w:r>
    </w:p>
    <w:p>
      <w:pPr>
        <w:keepLines/>
        <w:spacing w:after="60" w:line="240" w:lineRule="auto"/>
        <w:ind w:left="360" w:hanging="360"/>
      </w:pPr>
      <w:r>
        <w:rPr>
          <w:sz w:val="20"/>
        </w:rPr>
        <w:t>☐ Do not send passwords, identity documents, banking credentials, or privileged communications to an unverified sender.</w:t>
      </w:r>
    </w:p>
    <w:p>
      <w:pPr>
        <w:keepLines/>
        <w:spacing w:after="60" w:line="240" w:lineRule="auto"/>
        <w:ind w:left="360" w:hanging="360"/>
      </w:pPr>
      <w:r>
        <w:rPr>
          <w:sz w:val="20"/>
        </w:rPr>
        <w:t>☐ Before settling, require a complete written release identifying every released party, domain, URL, work, act, claim, and remedy.</w:t>
      </w:r>
    </w:p>
    <w:p>
      <w:pPr>
        <w:keepLines/>
        <w:spacing w:after="60" w:line="240" w:lineRule="auto"/>
        <w:ind w:left="360" w:hanging="360"/>
      </w:pPr>
      <w:r>
        <w:rPr>
          <w:sz w:val="20"/>
        </w:rPr>
        <w:t>☐ Report actual fraud with preserved evidence: FTC (reportfraud.ftc.gov) and FBI IC3 (ic3.gov).</w:t>
      </w:r>
    </w:p>
    <w:p>
      <w:pPr>
        <w:keepLines/>
        <w:spacing w:after="60" w:line="240" w:lineRule="auto"/>
        <w:ind w:left="360" w:hanging="360"/>
      </w:pPr>
      <w:r>
        <w:rPr>
          <w:sz w:val="20"/>
        </w:rPr>
        <w:t>☐ Suspected fraud does not excuse a missed formal deadline — verify formal process independently and get counsel.</w:t>
      </w:r>
    </w:p>
    <w:p>
      <w:pPr>
        <w:sectPr>
          <w:headerReference w:type="default" r:id="rId48"/>
          <w:footerReference w:type="default" r:id="rId49"/>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3. Matter intake worksheet</w:t>
      </w:r>
    </w:p>
    <w:tbl>
      <w:tblPr>
        <w:tblStyle w:val="TableGrid"/>
        <w:tblW w:type="dxa" w:w="9360"/>
        <w:jc w:val="left"/>
        <w:tblLayout w:type="fixed"/>
        <w:tblLook w:firstColumn="1" w:firstRow="1" w:lastColumn="0" w:lastRow="0" w:noHBand="0" w:noVBand="1" w:val="04A0"/>
      </w:tblPr>
      <w:tblGrid>
        <w:gridCol w:w="2600"/>
        <w:gridCol w:w="6760"/>
      </w:tblGrid>
      <w:tr>
        <w:trPr>
          <w:cantSplit/>
          <w:tblHeader w:val="true"/>
        </w:trPr>
        <w:tc>
          <w:tcPr>
            <w:tcW w:type="dxa" w:w="2600"/>
            <w:shd w:fill="F2F4F7"/>
            <w:tcMar>
              <w:top w:w="80" w:type="dxa"/>
              <w:start w:w="120" w:type="dxa"/>
              <w:bottom w:w="80" w:type="dxa"/>
              <w:end w:w="120" w:type="dxa"/>
            </w:tcMar>
            <w:vAlign w:val="top"/>
          </w:tcPr>
          <w:p>
            <w:r>
              <w:rPr>
                <w:b/>
              </w:rPr>
              <w:t>Recipient</w:t>
            </w:r>
          </w:p>
        </w:tc>
        <w:tc>
          <w:tcPr>
            <w:tcW w:type="dxa" w:w="6760"/>
            <w:tcMar>
              <w:top w:w="80" w:type="dxa"/>
              <w:start w:w="120" w:type="dxa"/>
              <w:bottom w:w="80" w:type="dxa"/>
              <w:end w:w="120" w:type="dxa"/>
            </w:tcMar>
            <w:vAlign w:val="top"/>
          </w:tcPr>
          <w:p>
            <w:r>
              <w:t>{{LEGAL_NAME_AND_ENTITY}}</w:t>
            </w:r>
          </w:p>
        </w:tc>
      </w:tr>
      <w:tr>
        <w:trPr>
          <w:cantSplit/>
        </w:trPr>
        <w:tc>
          <w:tcPr>
            <w:tcW w:type="dxa" w:w="2600"/>
            <w:shd w:fill="F2F4F7"/>
            <w:tcMar>
              <w:top w:w="80" w:type="dxa"/>
              <w:start w:w="120" w:type="dxa"/>
              <w:bottom w:w="80" w:type="dxa"/>
              <w:end w:w="120" w:type="dxa"/>
            </w:tcMar>
            <w:vAlign w:val="top"/>
          </w:tcPr>
          <w:p>
            <w:r>
              <w:rPr>
                <w:b/>
              </w:rPr>
              <w:t>Claimant / agency</w:t>
            </w:r>
          </w:p>
        </w:tc>
        <w:tc>
          <w:tcPr>
            <w:tcW w:type="dxa" w:w="6760"/>
            <w:tcMar>
              <w:top w:w="80" w:type="dxa"/>
              <w:start w:w="120" w:type="dxa"/>
              <w:bottom w:w="80" w:type="dxa"/>
              <w:end w:w="120" w:type="dxa"/>
            </w:tcMar>
            <w:vAlign w:val="top"/>
          </w:tcPr>
          <w:p>
            <w:r>
              <w:t>{{CLAIMANT_AND_AGENCY}}</w:t>
            </w:r>
          </w:p>
        </w:tc>
      </w:tr>
      <w:tr>
        <w:trPr>
          <w:cantSplit/>
        </w:trPr>
        <w:tc>
          <w:tcPr>
            <w:tcW w:type="dxa" w:w="2600"/>
            <w:shd w:fill="F2F4F7"/>
            <w:tcMar>
              <w:top w:w="80" w:type="dxa"/>
              <w:start w:w="120" w:type="dxa"/>
              <w:bottom w:w="80" w:type="dxa"/>
              <w:end w:w="120" w:type="dxa"/>
            </w:tcMar>
            <w:vAlign w:val="top"/>
          </w:tcPr>
          <w:p>
            <w:r>
              <w:rPr>
                <w:b/>
              </w:rPr>
              <w:t>Reference number</w:t>
            </w:r>
          </w:p>
        </w:tc>
        <w:tc>
          <w:tcPr>
            <w:tcW w:type="dxa" w:w="6760"/>
            <w:tcMar>
              <w:top w:w="80" w:type="dxa"/>
              <w:start w:w="120" w:type="dxa"/>
              <w:bottom w:w="80" w:type="dxa"/>
              <w:end w:w="120" w:type="dxa"/>
            </w:tcMar>
            <w:vAlign w:val="top"/>
          </w:tcPr>
          <w:p>
            <w:r>
              <w:t>{{REFERENCE_NUMBER}}</w:t>
            </w:r>
          </w:p>
        </w:tc>
      </w:tr>
      <w:tr>
        <w:trPr>
          <w:cantSplit/>
        </w:trPr>
        <w:tc>
          <w:tcPr>
            <w:tcW w:type="dxa" w:w="2600"/>
            <w:shd w:fill="F2F4F7"/>
            <w:tcMar>
              <w:top w:w="80" w:type="dxa"/>
              <w:start w:w="120" w:type="dxa"/>
              <w:bottom w:w="80" w:type="dxa"/>
              <w:end w:w="120" w:type="dxa"/>
            </w:tcMar>
            <w:vAlign w:val="top"/>
          </w:tcPr>
          <w:p>
            <w:r>
              <w:rPr>
                <w:b/>
              </w:rPr>
              <w:t>Date received</w:t>
            </w:r>
          </w:p>
        </w:tc>
        <w:tc>
          <w:tcPr>
            <w:tcW w:type="dxa" w:w="6760"/>
            <w:tcMar>
              <w:top w:w="80" w:type="dxa"/>
              <w:start w:w="120" w:type="dxa"/>
              <w:bottom w:w="80" w:type="dxa"/>
              <w:end w:w="120" w:type="dxa"/>
            </w:tcMar>
            <w:vAlign w:val="top"/>
          </w:tcPr>
          <w:p>
            <w:r>
              <w:t>{{DATE_RECEIVED}}</w:t>
            </w:r>
          </w:p>
        </w:tc>
      </w:tr>
      <w:tr>
        <w:trPr>
          <w:cantSplit/>
        </w:trPr>
        <w:tc>
          <w:tcPr>
            <w:tcW w:type="dxa" w:w="2600"/>
            <w:shd w:fill="F2F4F7"/>
            <w:tcMar>
              <w:top w:w="80" w:type="dxa"/>
              <w:start w:w="120" w:type="dxa"/>
              <w:bottom w:w="80" w:type="dxa"/>
              <w:end w:w="120" w:type="dxa"/>
            </w:tcMar>
            <w:vAlign w:val="top"/>
          </w:tcPr>
          <w:p>
            <w:r>
              <w:rPr>
                <w:b/>
              </w:rPr>
              <w:t>Response date claimed</w:t>
            </w:r>
          </w:p>
        </w:tc>
        <w:tc>
          <w:tcPr>
            <w:tcW w:type="dxa" w:w="6760"/>
            <w:tcMar>
              <w:top w:w="80" w:type="dxa"/>
              <w:start w:w="120" w:type="dxa"/>
              <w:bottom w:w="80" w:type="dxa"/>
              <w:end w:w="120" w:type="dxa"/>
            </w:tcMar>
            <w:vAlign w:val="top"/>
          </w:tcPr>
          <w:p>
            <w:r>
              <w:t>{{CLAIMED_DEADLINE}}</w:t>
            </w:r>
          </w:p>
        </w:tc>
      </w:tr>
      <w:tr>
        <w:trPr>
          <w:cantSplit/>
        </w:trPr>
        <w:tc>
          <w:tcPr>
            <w:tcW w:type="dxa" w:w="2600"/>
            <w:shd w:fill="F2F4F7"/>
            <w:tcMar>
              <w:top w:w="80" w:type="dxa"/>
              <w:start w:w="120" w:type="dxa"/>
              <w:bottom w:w="80" w:type="dxa"/>
              <w:end w:w="120" w:type="dxa"/>
            </w:tcMar>
            <w:vAlign w:val="top"/>
          </w:tcPr>
          <w:p>
            <w:r>
              <w:rPr>
                <w:b/>
              </w:rPr>
              <w:t>Amount demanded</w:t>
            </w:r>
          </w:p>
        </w:tc>
        <w:tc>
          <w:tcPr>
            <w:tcW w:type="dxa" w:w="6760"/>
            <w:tcMar>
              <w:top w:w="80" w:type="dxa"/>
              <w:start w:w="120" w:type="dxa"/>
              <w:bottom w:w="80" w:type="dxa"/>
              <w:end w:w="120" w:type="dxa"/>
            </w:tcMar>
            <w:vAlign w:val="top"/>
          </w:tcPr>
          <w:p>
            <w:r>
              <w:t>{{AMOUNT_AND_CURRENCY}}</w:t>
            </w:r>
          </w:p>
        </w:tc>
      </w:tr>
      <w:tr>
        <w:trPr>
          <w:cantSplit/>
        </w:trPr>
        <w:tc>
          <w:tcPr>
            <w:tcW w:type="dxa" w:w="2600"/>
            <w:shd w:fill="F2F4F7"/>
            <w:tcMar>
              <w:top w:w="80" w:type="dxa"/>
              <w:start w:w="120" w:type="dxa"/>
              <w:bottom w:w="80" w:type="dxa"/>
              <w:end w:w="120" w:type="dxa"/>
            </w:tcMar>
            <w:vAlign w:val="top"/>
          </w:tcPr>
          <w:p>
            <w:r>
              <w:rPr>
                <w:b/>
              </w:rPr>
              <w:t>Your page URL</w:t>
            </w:r>
          </w:p>
        </w:tc>
        <w:tc>
          <w:tcPr>
            <w:tcW w:type="dxa" w:w="6760"/>
            <w:tcMar>
              <w:top w:w="80" w:type="dxa"/>
              <w:start w:w="120" w:type="dxa"/>
              <w:bottom w:w="80" w:type="dxa"/>
              <w:end w:w="120" w:type="dxa"/>
            </w:tcMar>
            <w:vAlign w:val="top"/>
          </w:tcPr>
          <w:p>
            <w:r>
              <w:t>{{ALLEGED_USE_URL}}</w:t>
            </w:r>
          </w:p>
        </w:tc>
      </w:tr>
      <w:tr>
        <w:trPr>
          <w:cantSplit/>
        </w:trPr>
        <w:tc>
          <w:tcPr>
            <w:tcW w:type="dxa" w:w="2600"/>
            <w:shd w:fill="F2F4F7"/>
            <w:tcMar>
              <w:top w:w="80" w:type="dxa"/>
              <w:start w:w="120" w:type="dxa"/>
              <w:bottom w:w="80" w:type="dxa"/>
              <w:end w:w="120" w:type="dxa"/>
            </w:tcMar>
            <w:vAlign w:val="top"/>
          </w:tcPr>
          <w:p>
            <w:r>
              <w:rPr>
                <w:b/>
              </w:rPr>
              <w:t>Claimant's source URL</w:t>
            </w:r>
          </w:p>
        </w:tc>
        <w:tc>
          <w:tcPr>
            <w:tcW w:type="dxa" w:w="6760"/>
            <w:tcMar>
              <w:top w:w="80" w:type="dxa"/>
              <w:start w:w="120" w:type="dxa"/>
              <w:bottom w:w="80" w:type="dxa"/>
              <w:end w:w="120" w:type="dxa"/>
            </w:tcMar>
            <w:vAlign w:val="top"/>
          </w:tcPr>
          <w:p>
            <w:r>
              <w:t>{{SOURCE_OR_PUBLICATION_URL}}</w:t>
            </w:r>
          </w:p>
        </w:tc>
      </w:tr>
      <w:tr>
        <w:trPr>
          <w:cantSplit/>
        </w:trPr>
        <w:tc>
          <w:tcPr>
            <w:tcW w:type="dxa" w:w="2600"/>
            <w:shd w:fill="F2F4F7"/>
            <w:tcMar>
              <w:top w:w="80" w:type="dxa"/>
              <w:start w:w="120" w:type="dxa"/>
              <w:bottom w:w="80" w:type="dxa"/>
              <w:end w:w="120" w:type="dxa"/>
            </w:tcMar>
            <w:vAlign w:val="top"/>
          </w:tcPr>
          <w:p>
            <w:r>
              <w:rPr>
                <w:b/>
              </w:rPr>
              <w:t>Image description</w:t>
            </w:r>
          </w:p>
        </w:tc>
        <w:tc>
          <w:tcPr>
            <w:tcW w:type="dxa" w:w="6760"/>
            <w:tcMar>
              <w:top w:w="80" w:type="dxa"/>
              <w:start w:w="120" w:type="dxa"/>
              <w:bottom w:w="80" w:type="dxa"/>
              <w:end w:w="120" w:type="dxa"/>
            </w:tcMar>
            <w:vAlign w:val="top"/>
          </w:tcPr>
          <w:p>
            <w:r>
              <w:t>{{IMAGE_DESCRIPTION_AND_IDENTIFIERS}}</w:t>
            </w:r>
          </w:p>
        </w:tc>
      </w:tr>
      <w:tr>
        <w:trPr>
          <w:cantSplit/>
        </w:trPr>
        <w:tc>
          <w:tcPr>
            <w:tcW w:type="dxa" w:w="2600"/>
            <w:shd w:fill="F2F4F7"/>
            <w:tcMar>
              <w:top w:w="80" w:type="dxa"/>
              <w:start w:w="120" w:type="dxa"/>
              <w:bottom w:w="80" w:type="dxa"/>
              <w:end w:w="120" w:type="dxa"/>
            </w:tcMar>
            <w:vAlign w:val="top"/>
          </w:tcPr>
          <w:p>
            <w:r>
              <w:rPr>
                <w:b/>
              </w:rPr>
              <w:t>First/last observed dates</w:t>
            </w:r>
          </w:p>
        </w:tc>
        <w:tc>
          <w:tcPr>
            <w:tcW w:type="dxa" w:w="6760"/>
            <w:tcMar>
              <w:top w:w="80" w:type="dxa"/>
              <w:start w:w="120" w:type="dxa"/>
              <w:bottom w:w="80" w:type="dxa"/>
              <w:end w:w="120" w:type="dxa"/>
            </w:tcMar>
            <w:vAlign w:val="top"/>
          </w:tcPr>
          <w:p>
            <w:r>
              <w:t>{{DATES}}</w:t>
            </w:r>
          </w:p>
        </w:tc>
      </w:tr>
      <w:tr>
        <w:trPr>
          <w:cantSplit/>
        </w:trPr>
        <w:tc>
          <w:tcPr>
            <w:tcW w:type="dxa" w:w="2600"/>
            <w:shd w:fill="F2F4F7"/>
            <w:tcMar>
              <w:top w:w="80" w:type="dxa"/>
              <w:start w:w="120" w:type="dxa"/>
              <w:bottom w:w="80" w:type="dxa"/>
              <w:end w:w="120" w:type="dxa"/>
            </w:tcMar>
            <w:vAlign w:val="top"/>
          </w:tcPr>
          <w:p>
            <w:r>
              <w:rPr>
                <w:b/>
              </w:rPr>
              <w:t>Jurisdiction stated</w:t>
            </w:r>
          </w:p>
        </w:tc>
        <w:tc>
          <w:tcPr>
            <w:tcW w:type="dxa" w:w="6760"/>
            <w:tcMar>
              <w:top w:w="80" w:type="dxa"/>
              <w:start w:w="120" w:type="dxa"/>
              <w:bottom w:w="80" w:type="dxa"/>
              <w:end w:w="120" w:type="dxa"/>
            </w:tcMar>
            <w:vAlign w:val="top"/>
          </w:tcPr>
          <w:p>
            <w:r>
              <w:t>{{COUNTRY_STATE_COURT_OR_UNKNOWN}}</w:t>
            </w:r>
          </w:p>
        </w:tc>
      </w:tr>
    </w:tbl>
    <w:p>
      <w:pPr>
        <w:spacing w:after="0"/>
      </w:pPr>
    </w:p>
    <w:p>
      <w:pPr>
        <w:pStyle w:val="Heading2"/>
      </w:pPr>
      <w:r>
        <w:t>Chronology</w:t>
      </w:r>
    </w:p>
    <w:tbl>
      <w:tblPr>
        <w:tblStyle w:val="TableGrid"/>
        <w:tblW w:type="dxa" w:w="9360"/>
        <w:jc w:val="left"/>
        <w:tblLayout w:type="fixed"/>
        <w:tblLook w:firstColumn="1" w:firstRow="1" w:lastColumn="0" w:lastRow="0" w:noHBand="0" w:noVBand="1" w:val="04A0"/>
      </w:tblPr>
      <w:tblGrid>
        <w:gridCol w:w="1600"/>
        <w:gridCol w:w="4160"/>
        <w:gridCol w:w="3600"/>
      </w:tblGrid>
      <w:tr>
        <w:trPr>
          <w:tblHeader w:val="true"/>
        </w:trPr>
        <w:tc>
          <w:tcPr>
            <w:tcW w:type="dxa" w:w="1600"/>
            <w:shd w:fill="F2F4F7"/>
            <w:tcMar>
              <w:top w:w="80" w:type="dxa"/>
              <w:start w:w="120" w:type="dxa"/>
              <w:bottom w:w="80" w:type="dxa"/>
              <w:end w:w="120" w:type="dxa"/>
            </w:tcMar>
            <w:vAlign w:val="top"/>
          </w:tcPr>
          <w:p>
            <w:r>
              <w:rPr>
                <w:b/>
              </w:rPr>
              <w:t>Date</w:t>
            </w:r>
          </w:p>
        </w:tc>
        <w:tc>
          <w:tcPr>
            <w:tcW w:type="dxa" w:w="4160"/>
            <w:shd w:fill="F2F4F7"/>
            <w:tcMar>
              <w:top w:w="80" w:type="dxa"/>
              <w:start w:w="120" w:type="dxa"/>
              <w:bottom w:w="80" w:type="dxa"/>
              <w:end w:w="120" w:type="dxa"/>
            </w:tcMar>
            <w:vAlign w:val="top"/>
          </w:tcPr>
          <w:p>
            <w:r>
              <w:rPr>
                <w:b/>
              </w:rPr>
              <w:t>Event</w:t>
            </w:r>
          </w:p>
        </w:tc>
        <w:tc>
          <w:tcPr>
            <w:tcW w:type="dxa" w:w="3600"/>
            <w:shd w:fill="F2F4F7"/>
            <w:tcMar>
              <w:top w:w="80" w:type="dxa"/>
              <w:start w:w="120" w:type="dxa"/>
              <w:bottom w:w="80" w:type="dxa"/>
              <w:end w:w="120" w:type="dxa"/>
            </w:tcMar>
            <w:vAlign w:val="top"/>
          </w:tcPr>
          <w:p>
            <w:r>
              <w:rPr>
                <w:b/>
              </w:rPr>
              <w:t>Evidence / source</w:t>
            </w:r>
          </w:p>
        </w:tc>
      </w:tr>
      <w:tr>
        <w:trPr>
          <w:cantSplit/>
        </w:trPr>
        <w:tc>
          <w:tcPr>
            <w:tcW w:type="dxa" w:w="1600"/>
            <w:tcMar>
              <w:top w:w="80" w:type="dxa"/>
              <w:start w:w="120" w:type="dxa"/>
              <w:bottom w:w="80" w:type="dxa"/>
              <w:end w:w="120" w:type="dxa"/>
            </w:tcMar>
            <w:vAlign w:val="top"/>
          </w:tcPr>
          <w:p>
            <w:r>
              <w:t>{{DATE}}</w:t>
            </w:r>
          </w:p>
        </w:tc>
        <w:tc>
          <w:tcPr>
            <w:tcW w:type="dxa" w:w="4160"/>
            <w:tcMar>
              <w:top w:w="80" w:type="dxa"/>
              <w:start w:w="120" w:type="dxa"/>
              <w:bottom w:w="80" w:type="dxa"/>
              <w:end w:w="120" w:type="dxa"/>
            </w:tcMar>
            <w:vAlign w:val="top"/>
          </w:tcPr>
          <w:p>
            <w:r>
              <w:t>{{EVENT}}</w:t>
            </w:r>
          </w:p>
        </w:tc>
        <w:tc>
          <w:tcPr>
            <w:tcW w:type="dxa" w:w="3600"/>
            <w:tcMar>
              <w:top w:w="80" w:type="dxa"/>
              <w:start w:w="120" w:type="dxa"/>
              <w:bottom w:w="80" w:type="dxa"/>
              <w:end w:w="120" w:type="dxa"/>
            </w:tcMar>
            <w:vAlign w:val="top"/>
          </w:tcPr>
          <w:p>
            <w:r>
              <w:t>{{FILE_URL_LOG_OR_WITNESS}}</w:t>
            </w:r>
          </w:p>
        </w:tc>
      </w:tr>
      <w:tr>
        <w:trPr>
          <w:cantSplit/>
        </w:trPr>
        <w:tc>
          <w:tcPr>
            <w:tcW w:type="dxa" w:w="1600"/>
            <w:tcMar>
              <w:top w:w="80" w:type="dxa"/>
              <w:start w:w="120" w:type="dxa"/>
              <w:bottom w:w="80" w:type="dxa"/>
              <w:end w:w="120" w:type="dxa"/>
            </w:tcMar>
            <w:vAlign w:val="top"/>
          </w:tcPr>
          <w:p>
            <w:r>
              <w:t>{{DATE}}</w:t>
            </w:r>
          </w:p>
        </w:tc>
        <w:tc>
          <w:tcPr>
            <w:tcW w:type="dxa" w:w="4160"/>
            <w:tcMar>
              <w:top w:w="80" w:type="dxa"/>
              <w:start w:w="120" w:type="dxa"/>
              <w:bottom w:w="80" w:type="dxa"/>
              <w:end w:w="120" w:type="dxa"/>
            </w:tcMar>
            <w:vAlign w:val="top"/>
          </w:tcPr>
          <w:p>
            <w:r>
              <w:t>{{EVENT}}</w:t>
            </w:r>
          </w:p>
        </w:tc>
        <w:tc>
          <w:tcPr>
            <w:tcW w:type="dxa" w:w="3600"/>
            <w:tcMar>
              <w:top w:w="80" w:type="dxa"/>
              <w:start w:w="120" w:type="dxa"/>
              <w:bottom w:w="80" w:type="dxa"/>
              <w:end w:w="120" w:type="dxa"/>
            </w:tcMar>
            <w:vAlign w:val="top"/>
          </w:tcPr>
          <w:p>
            <w:r>
              <w:t>{{FILE_URL_LOG_OR_WITNESS}}</w:t>
            </w:r>
          </w:p>
        </w:tc>
      </w:tr>
      <w:tr>
        <w:trPr>
          <w:cantSplit/>
        </w:trPr>
        <w:tc>
          <w:tcPr>
            <w:tcW w:type="dxa" w:w="1600"/>
            <w:tcMar>
              <w:top w:w="80" w:type="dxa"/>
              <w:start w:w="120" w:type="dxa"/>
              <w:bottom w:w="80" w:type="dxa"/>
              <w:end w:w="120" w:type="dxa"/>
            </w:tcMar>
            <w:vAlign w:val="top"/>
          </w:tcPr>
          <w:p>
            <w:r>
              <w:t>{{DATE}}</w:t>
            </w:r>
          </w:p>
        </w:tc>
        <w:tc>
          <w:tcPr>
            <w:tcW w:type="dxa" w:w="4160"/>
            <w:tcMar>
              <w:top w:w="80" w:type="dxa"/>
              <w:start w:w="120" w:type="dxa"/>
              <w:bottom w:w="80" w:type="dxa"/>
              <w:end w:w="120" w:type="dxa"/>
            </w:tcMar>
            <w:vAlign w:val="top"/>
          </w:tcPr>
          <w:p>
            <w:r>
              <w:t>{{EVENT}}</w:t>
            </w:r>
          </w:p>
        </w:tc>
        <w:tc>
          <w:tcPr>
            <w:tcW w:type="dxa" w:w="3600"/>
            <w:tcMar>
              <w:top w:w="80" w:type="dxa"/>
              <w:start w:w="120" w:type="dxa"/>
              <w:bottom w:w="80" w:type="dxa"/>
              <w:end w:w="120" w:type="dxa"/>
            </w:tcMar>
            <w:vAlign w:val="top"/>
          </w:tcPr>
          <w:p>
            <w:r>
              <w:t>{{FILE_URL_LOG_OR_WITNESS}}</w:t>
            </w:r>
          </w:p>
        </w:tc>
      </w:tr>
      <w:tr>
        <w:trPr>
          <w:cantSplit/>
        </w:trPr>
        <w:tc>
          <w:tcPr>
            <w:tcW w:type="dxa" w:w="1600"/>
            <w:tcMar>
              <w:top w:w="80" w:type="dxa"/>
              <w:start w:w="120" w:type="dxa"/>
              <w:bottom w:w="80" w:type="dxa"/>
              <w:end w:w="120" w:type="dxa"/>
            </w:tcMar>
            <w:vAlign w:val="top"/>
          </w:tcPr>
          <w:p>
            <w:r>
              <w:t>{{DATE}}</w:t>
            </w:r>
          </w:p>
        </w:tc>
        <w:tc>
          <w:tcPr>
            <w:tcW w:type="dxa" w:w="4160"/>
            <w:tcMar>
              <w:top w:w="80" w:type="dxa"/>
              <w:start w:w="120" w:type="dxa"/>
              <w:bottom w:w="80" w:type="dxa"/>
              <w:end w:w="120" w:type="dxa"/>
            </w:tcMar>
            <w:vAlign w:val="top"/>
          </w:tcPr>
          <w:p>
            <w:r>
              <w:t>{{EVENT}}</w:t>
            </w:r>
          </w:p>
        </w:tc>
        <w:tc>
          <w:tcPr>
            <w:tcW w:type="dxa" w:w="3600"/>
            <w:tcMar>
              <w:top w:w="80" w:type="dxa"/>
              <w:start w:w="120" w:type="dxa"/>
              <w:bottom w:w="80" w:type="dxa"/>
              <w:end w:w="120" w:type="dxa"/>
            </w:tcMar>
            <w:vAlign w:val="top"/>
          </w:tcPr>
          <w:p>
            <w:r>
              <w:t>{{FILE_URL_LOG_OR_WITNESS}}</w:t>
            </w:r>
          </w:p>
        </w:tc>
      </w:tr>
    </w:tbl>
    <w:p>
      <w:pPr>
        <w:spacing w:after="0"/>
      </w:pPr>
    </w:p>
    <w:p>
      <w:pPr>
        <w:sectPr>
          <w:headerReference w:type="default" r:id="rId50"/>
          <w:footerReference w:type="default" r:id="rId51"/>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4. Preserve technical evidence</w:t>
      </w:r>
    </w:p>
    <w:p>
      <w:pPr>
        <w:keepLines/>
      </w:pPr>
      <w:r>
        <w:t>Preserve before deletion, replacement, cache purge, or code changes. Record who collected each item, when, from what device, and whether the content was live or retrieved from an archive.</w:t>
      </w:r>
    </w:p>
    <w:p>
      <w:pPr>
        <w:keepLines/>
        <w:spacing w:after="60" w:line="240" w:lineRule="auto"/>
        <w:ind w:left="360" w:hanging="360"/>
      </w:pPr>
      <w:r>
        <w:rPr>
          <w:sz w:val="20"/>
        </w:rPr>
        <w:t>☐ The full demand, envelope, email headers, attachments, portal pages, invoices, and prior correspondence.</w:t>
      </w:r>
    </w:p>
    <w:p>
      <w:pPr>
        <w:keepLines/>
        <w:spacing w:after="60" w:line="240" w:lineRule="auto"/>
        <w:ind w:left="360" w:hanging="360"/>
      </w:pPr>
      <w:r>
        <w:rPr>
          <w:sz w:val="20"/>
        </w:rPr>
        <w:t>☐ Full-page screenshots showing the URL bar and system date; also save a PDF and web archive if lawful.</w:t>
      </w:r>
    </w:p>
    <w:p>
      <w:pPr>
        <w:keepLines/>
        <w:spacing w:after="60" w:line="240" w:lineRule="auto"/>
        <w:ind w:left="360" w:hanging="360"/>
      </w:pPr>
      <w:r>
        <w:rPr>
          <w:sz w:val="20"/>
        </w:rPr>
        <w:t>☐ The page HTML and relevant database/CMS record, including author, timestamps, revisions, and image fields.</w:t>
      </w:r>
    </w:p>
    <w:p>
      <w:pPr>
        <w:keepLines/>
        <w:spacing w:after="60" w:line="240" w:lineRule="auto"/>
        <w:ind w:left="360" w:hanging="360"/>
      </w:pPr>
      <w:r>
        <w:rPr>
          <w:sz w:val="20"/>
        </w:rPr>
        <w:t>☐ HTTP archive (HAR) or browser network log showing the image request URL, redirects, status, response headers, initiator, and cache behavior.</w:t>
      </w:r>
    </w:p>
    <w:p>
      <w:pPr>
        <w:keepLines/>
        <w:spacing w:after="60" w:line="240" w:lineRule="auto"/>
        <w:ind w:left="360" w:hanging="360"/>
      </w:pPr>
      <w:r>
        <w:rPr>
          <w:sz w:val="20"/>
        </w:rPr>
        <w:t>☐ Server, CDN, proxy, storage, upload, and access logs; preserve retention settings and relevant time zones.</w:t>
      </w:r>
    </w:p>
    <w:p>
      <w:pPr>
        <w:keepLines/>
        <w:spacing w:after="60" w:line="240" w:lineRule="auto"/>
        <w:ind w:left="360" w:hanging="360"/>
      </w:pPr>
      <w:r>
        <w:rPr>
          <w:sz w:val="20"/>
        </w:rPr>
        <w:t>☐ The source page HTML and visible metadata, including Open Graph, X/Twitter Card, oEmbed, and JSON-LD tags.</w:t>
      </w:r>
    </w:p>
    <w:p>
      <w:pPr>
        <w:keepLines/>
        <w:spacing w:after="60" w:line="240" w:lineRule="auto"/>
        <w:ind w:left="360" w:hanging="360"/>
      </w:pPr>
      <w:r>
        <w:rPr>
          <w:sz w:val="20"/>
        </w:rPr>
        <w:t>☐ Contracts, licenses, subscriptions, syndication terms, API terms, vendor records, and user-upload records.</w:t>
      </w:r>
    </w:p>
    <w:p>
      <w:pPr>
        <w:keepLines/>
        <w:spacing w:after="60" w:line="240" w:lineRule="auto"/>
        <w:ind w:left="360" w:hanging="360"/>
      </w:pPr>
      <w:r>
        <w:rPr>
          <w:sz w:val="20"/>
        </w:rPr>
        <w:t>☐ Analytics and monetization records relevant to audience, revenue, and the specific page.</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FFF7E6"/>
            <w:tcMar>
              <w:top w:w="80" w:type="dxa"/>
              <w:start w:w="120" w:type="dxa"/>
              <w:bottom w:w="80" w:type="dxa"/>
              <w:end w:w="120" w:type="dxa"/>
            </w:tcMar>
            <w:vAlign w:val="top"/>
          </w:tcPr>
          <w:p>
            <w:r/>
            <w:r>
              <w:rPr>
                <w:b/>
                <w:color w:val="B42318"/>
              </w:rPr>
              <w:t>Do not overstate archives</w:t>
            </w:r>
            <w:r>
              <w:br/>
              <w:t>A current tag or archived screenshot can help, but it may not prove what code, metadata, image URL, or license existed on the historical date. Label current, historical, inferred, and missing evidence separately.</w:t>
            </w:r>
          </w:p>
        </w:tc>
      </w:tr>
    </w:tbl>
    <w:p>
      <w:pPr>
        <w:spacing w:after="0"/>
      </w:pPr>
    </w:p>
    <w:p>
      <w:pPr>
        <w:sectPr>
          <w:headerReference w:type="default" r:id="rId52"/>
          <w:footerReference w:type="default" r:id="rId53"/>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5. Social metadata and delivery route</w:t>
      </w:r>
    </w:p>
    <w:p>
      <w:pPr>
        <w:keepLines/>
      </w:pPr>
      <w:r>
        <w:t>Publishers commonly identify preview images in machine-readable metadata. Those tags are relevant technical evidence, but their presence alone does not conclusively grant a copyright license to every downstream service or use.</w:t>
      </w:r>
    </w:p>
    <w:tbl>
      <w:tblPr>
        <w:tblStyle w:val="TableGrid"/>
        <w:tblW w:type="dxa" w:w="9360"/>
        <w:jc w:val="left"/>
        <w:tblLayout w:type="fixed"/>
        <w:tblLook w:firstColumn="1" w:firstRow="1" w:lastColumn="0" w:lastRow="0" w:noHBand="0" w:noVBand="1" w:val="04A0"/>
      </w:tblPr>
      <w:tblGrid>
        <w:gridCol w:w="2600"/>
        <w:gridCol w:w="6760"/>
      </w:tblGrid>
      <w:tr>
        <w:trPr>
          <w:tblHeader w:val="true"/>
        </w:trPr>
        <w:tc>
          <w:tcPr>
            <w:tcW w:type="dxa" w:w="2600"/>
            <w:shd w:fill="F2F4F7"/>
            <w:tcMar>
              <w:top w:w="80" w:type="dxa"/>
              <w:start w:w="120" w:type="dxa"/>
              <w:bottom w:w="80" w:type="dxa"/>
              <w:end w:w="120" w:type="dxa"/>
            </w:tcMar>
            <w:vAlign w:val="top"/>
          </w:tcPr>
          <w:p>
            <w:r>
              <w:rPr>
                <w:b/>
              </w:rPr>
              <w:t>Metadata channel</w:t>
            </w:r>
          </w:p>
        </w:tc>
        <w:tc>
          <w:tcPr>
            <w:tcW w:type="dxa" w:w="6760"/>
            <w:shd w:fill="F2F4F7"/>
            <w:tcMar>
              <w:top w:w="80" w:type="dxa"/>
              <w:start w:w="120" w:type="dxa"/>
              <w:bottom w:w="80" w:type="dxa"/>
              <w:end w:w="120" w:type="dxa"/>
            </w:tcMar>
            <w:vAlign w:val="top"/>
          </w:tcPr>
          <w:p>
            <w:r>
              <w:rPr>
                <w:b/>
              </w:rPr>
              <w:t>Example or evidence to preserve</w:t>
            </w:r>
          </w:p>
        </w:tc>
      </w:tr>
      <w:tr>
        <w:trPr>
          <w:cantSplit/>
        </w:trPr>
        <w:tc>
          <w:tcPr>
            <w:tcW w:type="dxa" w:w="2600"/>
            <w:tcMar>
              <w:top w:w="80" w:type="dxa"/>
              <w:start w:w="120" w:type="dxa"/>
              <w:bottom w:w="80" w:type="dxa"/>
              <w:end w:w="120" w:type="dxa"/>
            </w:tcMar>
            <w:vAlign w:val="top"/>
          </w:tcPr>
          <w:p>
            <w:r>
              <w:t>Open Graph</w:t>
            </w:r>
          </w:p>
        </w:tc>
        <w:tc>
          <w:tcPr>
            <w:tcW w:type="dxa" w:w="6760"/>
            <w:tcMar>
              <w:top w:w="80" w:type="dxa"/>
              <w:start w:w="120" w:type="dxa"/>
              <w:bottom w:w="80" w:type="dxa"/>
              <w:end w:w="120" w:type="dxa"/>
            </w:tcMar>
            <w:vAlign w:val="top"/>
          </w:tcPr>
          <w:p>
            <w:r>
              <w:t>&lt;meta property="og:image" content="{{IMAGE_URL}}"&gt;</w:t>
            </w:r>
          </w:p>
        </w:tc>
      </w:tr>
      <w:tr>
        <w:trPr>
          <w:cantSplit/>
        </w:trPr>
        <w:tc>
          <w:tcPr>
            <w:tcW w:type="dxa" w:w="2600"/>
            <w:tcMar>
              <w:top w:w="80" w:type="dxa"/>
              <w:start w:w="120" w:type="dxa"/>
              <w:bottom w:w="80" w:type="dxa"/>
              <w:end w:w="120" w:type="dxa"/>
            </w:tcMar>
            <w:vAlign w:val="top"/>
          </w:tcPr>
          <w:p>
            <w:r>
              <w:t>X / Twitter Card</w:t>
            </w:r>
          </w:p>
        </w:tc>
        <w:tc>
          <w:tcPr>
            <w:tcW w:type="dxa" w:w="6760"/>
            <w:tcMar>
              <w:top w:w="80" w:type="dxa"/>
              <w:start w:w="120" w:type="dxa"/>
              <w:bottom w:w="80" w:type="dxa"/>
              <w:end w:w="120" w:type="dxa"/>
            </w:tcMar>
            <w:vAlign w:val="top"/>
          </w:tcPr>
          <w:p>
            <w:r>
              <w:t>&lt;meta name="twitter:image" content="{{IMAGE_URL}}"&gt;</w:t>
            </w:r>
          </w:p>
        </w:tc>
      </w:tr>
      <w:tr>
        <w:trPr>
          <w:cantSplit/>
        </w:trPr>
        <w:tc>
          <w:tcPr>
            <w:tcW w:type="dxa" w:w="2600"/>
            <w:tcMar>
              <w:top w:w="80" w:type="dxa"/>
              <w:start w:w="120" w:type="dxa"/>
              <w:bottom w:w="80" w:type="dxa"/>
              <w:end w:w="120" w:type="dxa"/>
            </w:tcMar>
            <w:vAlign w:val="top"/>
          </w:tcPr>
          <w:p>
            <w:r>
              <w:t>JSON-LD</w:t>
            </w:r>
          </w:p>
        </w:tc>
        <w:tc>
          <w:tcPr>
            <w:tcW w:type="dxa" w:w="6760"/>
            <w:tcMar>
              <w:top w:w="80" w:type="dxa"/>
              <w:start w:w="120" w:type="dxa"/>
              <w:bottom w:w="80" w:type="dxa"/>
              <w:end w:w="120" w:type="dxa"/>
            </w:tcMar>
            <w:vAlign w:val="top"/>
          </w:tcPr>
          <w:p>
            <w:r>
              <w:t>"@type": "NewsArticle", "image": ["{{IMAGE_URL}}"]</w:t>
            </w:r>
          </w:p>
        </w:tc>
      </w:tr>
      <w:tr>
        <w:trPr>
          <w:cantSplit/>
        </w:trPr>
        <w:tc>
          <w:tcPr>
            <w:tcW w:type="dxa" w:w="2600"/>
            <w:tcMar>
              <w:top w:w="80" w:type="dxa"/>
              <w:start w:w="120" w:type="dxa"/>
              <w:bottom w:w="80" w:type="dxa"/>
              <w:end w:w="120" w:type="dxa"/>
            </w:tcMar>
            <w:vAlign w:val="top"/>
          </w:tcPr>
          <w:p>
            <w:r>
              <w:t>oEmbed / API</w:t>
            </w:r>
          </w:p>
        </w:tc>
        <w:tc>
          <w:tcPr>
            <w:tcW w:type="dxa" w:w="6760"/>
            <w:tcMar>
              <w:top w:w="80" w:type="dxa"/>
              <w:start w:w="120" w:type="dxa"/>
              <w:bottom w:w="80" w:type="dxa"/>
              <w:end w:w="120" w:type="dxa"/>
            </w:tcMar>
            <w:vAlign w:val="top"/>
          </w:tcPr>
          <w:p>
            <w:r>
              <w:t>{{ENDPOINT_RESPONSE_AND_TERMS}}</w:t>
            </w:r>
          </w:p>
        </w:tc>
      </w:tr>
    </w:tbl>
    <w:p>
      <w:pPr>
        <w:spacing w:after="0"/>
      </w:pPr>
    </w:p>
    <w:p>
      <w:pPr>
        <w:pStyle w:val="Heading2"/>
      </w:pPr>
      <w:r>
        <w:t>oEmbed field boundaries</w:t>
      </w:r>
    </w:p>
    <w:tbl>
      <w:tblPr>
        <w:tblStyle w:val="TableGrid"/>
        <w:tblW w:type="dxa" w:w="9360"/>
        <w:jc w:val="left"/>
        <w:tblLayout w:type="fixed"/>
        <w:tblLook w:firstColumn="1" w:firstRow="1" w:lastColumn="0" w:lastRow="0" w:noHBand="0" w:noVBand="1" w:val="04A0"/>
      </w:tblPr>
      <w:tblGrid>
        <w:gridCol w:w="2600"/>
        <w:gridCol w:w="6760"/>
      </w:tblGrid>
      <w:tr>
        <w:trPr>
          <w:tblHeader w:val="true"/>
        </w:trPr>
        <w:tc>
          <w:tcPr>
            <w:tcW w:type="dxa" w:w="2600"/>
            <w:shd w:fill="F2F4F7"/>
            <w:tcMar>
              <w:top w:w="80" w:type="dxa"/>
              <w:start w:w="120" w:type="dxa"/>
              <w:bottom w:w="80" w:type="dxa"/>
              <w:end w:w="120" w:type="dxa"/>
            </w:tcMar>
            <w:vAlign w:val="top"/>
          </w:tcPr>
          <w:p>
            <w:r>
              <w:rPr>
                <w:b/>
              </w:rPr>
              <w:t>oEmbed field</w:t>
            </w:r>
          </w:p>
        </w:tc>
        <w:tc>
          <w:tcPr>
            <w:tcW w:type="dxa" w:w="6760"/>
            <w:shd w:fill="F2F4F7"/>
            <w:tcMar>
              <w:top w:w="80" w:type="dxa"/>
              <w:start w:w="120" w:type="dxa"/>
              <w:bottom w:w="80" w:type="dxa"/>
              <w:end w:w="120" w:type="dxa"/>
            </w:tcMar>
            <w:vAlign w:val="top"/>
          </w:tcPr>
          <w:p>
            <w:r>
              <w:rPr>
                <w:b/>
              </w:rPr>
              <w:t>What it may and may not support</w:t>
            </w:r>
          </w:p>
        </w:tc>
      </w:tr>
      <w:tr>
        <w:trPr>
          <w:cantSplit/>
        </w:trPr>
        <w:tc>
          <w:tcPr>
            <w:tcW w:type="dxa" w:w="2600"/>
            <w:tcMar>
              <w:top w:w="80" w:type="dxa"/>
              <w:start w:w="120" w:type="dxa"/>
              <w:bottom w:w="80" w:type="dxa"/>
              <w:end w:w="120" w:type="dxa"/>
            </w:tcMar>
            <w:vAlign w:val="top"/>
          </w:tcPr>
          <w:p>
            <w:r>
              <w:t>rich / video + html</w:t>
            </w:r>
          </w:p>
        </w:tc>
        <w:tc>
          <w:tcPr>
            <w:tcW w:type="dxa" w:w="6760"/>
            <w:tcMar>
              <w:top w:w="80" w:type="dxa"/>
              <w:start w:w="120" w:type="dxa"/>
              <w:bottom w:w="80" w:type="dxa"/>
              <w:end w:w="120" w:type="dxa"/>
            </w:tcMar>
            <w:vAlign w:val="top"/>
          </w:tcPr>
          <w:p>
            <w:r>
              <w:t>Official rendering instructions; unchanged use within provider terms may support authorization, but it is not automatic immunity.</w:t>
            </w:r>
          </w:p>
        </w:tc>
      </w:tr>
      <w:tr>
        <w:trPr>
          <w:cantSplit/>
        </w:trPr>
        <w:tc>
          <w:tcPr>
            <w:tcW w:type="dxa" w:w="2600"/>
            <w:tcMar>
              <w:top w:w="80" w:type="dxa"/>
              <w:start w:w="120" w:type="dxa"/>
              <w:bottom w:w="80" w:type="dxa"/>
              <w:end w:w="120" w:type="dxa"/>
            </w:tcMar>
            <w:vAlign w:val="top"/>
          </w:tcPr>
          <w:p>
            <w:r>
              <w:t>photo + url</w:t>
            </w:r>
          </w:p>
        </w:tc>
        <w:tc>
          <w:tcPr>
            <w:tcW w:type="dxa" w:w="6760"/>
            <w:tcMar>
              <w:top w:w="80" w:type="dxa"/>
              <w:start w:w="120" w:type="dxa"/>
              <w:bottom w:w="80" w:type="dxa"/>
              <w:end w:w="120" w:type="dxa"/>
            </w:tcMar>
            <w:vAlign w:val="top"/>
          </w:tcPr>
          <w:p>
            <w:r>
              <w:t>A provider-selected media resource; terms, size, attribution, and context still apply.</w:t>
            </w:r>
          </w:p>
        </w:tc>
      </w:tr>
      <w:tr>
        <w:trPr>
          <w:cantSplit/>
        </w:trPr>
        <w:tc>
          <w:tcPr>
            <w:tcW w:type="dxa" w:w="2600"/>
            <w:tcMar>
              <w:top w:w="80" w:type="dxa"/>
              <w:start w:w="120" w:type="dxa"/>
              <w:bottom w:w="80" w:type="dxa"/>
              <w:end w:w="120" w:type="dxa"/>
            </w:tcMar>
            <w:vAlign w:val="top"/>
          </w:tcPr>
          <w:p>
            <w:r>
              <w:t>thumbnail_url</w:t>
            </w:r>
          </w:p>
        </w:tc>
        <w:tc>
          <w:tcPr>
            <w:tcW w:type="dxa" w:w="6760"/>
            <w:tcMar>
              <w:top w:w="80" w:type="dxa"/>
              <w:start w:w="120" w:type="dxa"/>
              <w:bottom w:w="80" w:type="dxa"/>
              <w:end w:w="120" w:type="dxa"/>
            </w:tcMar>
            <w:vAlign w:val="top"/>
          </w:tcPr>
          <w:p>
            <w:r>
              <w:t>A provider-designated preview thumbnail — not permission to enlarge, detach, permanently copy, or repurpose the original.</w:t>
            </w:r>
          </w:p>
        </w:tc>
      </w:tr>
      <w:tr>
        <w:trPr>
          <w:cantSplit/>
        </w:trPr>
        <w:tc>
          <w:tcPr>
            <w:tcW w:type="dxa" w:w="2600"/>
            <w:tcMar>
              <w:top w:w="80" w:type="dxa"/>
              <w:start w:w="120" w:type="dxa"/>
              <w:bottom w:w="80" w:type="dxa"/>
              <w:end w:w="120" w:type="dxa"/>
            </w:tcMar>
            <w:vAlign w:val="top"/>
          </w:tcPr>
          <w:p>
            <w:r>
              <w:t>link</w:t>
            </w:r>
          </w:p>
        </w:tc>
        <w:tc>
          <w:tcPr>
            <w:tcW w:type="dxa" w:w="6760"/>
            <w:tcMar>
              <w:top w:w="80" w:type="dxa"/>
              <w:start w:w="120" w:type="dxa"/>
              <w:bottom w:w="80" w:type="dxa"/>
              <w:end w:w="120" w:type="dxa"/>
            </w:tcMar>
            <w:vAlign w:val="top"/>
          </w:tcPr>
          <w:p>
            <w:r>
              <w:t>Link metadata only; no embedded-media authorization by itself.</w:t>
            </w:r>
          </w:p>
        </w:tc>
      </w:tr>
      <w:tr>
        <w:trPr>
          <w:cantSplit/>
        </w:trPr>
        <w:tc>
          <w:tcPr>
            <w:tcW w:type="dxa" w:w="2600"/>
            <w:tcMar>
              <w:top w:w="80" w:type="dxa"/>
              <w:start w:w="120" w:type="dxa"/>
              <w:bottom w:w="80" w:type="dxa"/>
              <w:end w:w="120" w:type="dxa"/>
            </w:tcMar>
            <w:vAlign w:val="top"/>
          </w:tcPr>
          <w:p>
            <w:r>
              <w:t>cache_age</w:t>
            </w:r>
          </w:p>
        </w:tc>
        <w:tc>
          <w:tcPr>
            <w:tcW w:type="dxa" w:w="6760"/>
            <w:tcMar>
              <w:top w:w="80" w:type="dxa"/>
              <w:start w:w="120" w:type="dxa"/>
              <w:bottom w:w="80" w:type="dxa"/>
              <w:end w:w="120" w:type="dxa"/>
            </w:tcMar>
            <w:vAlign w:val="top"/>
          </w:tcPr>
          <w:p>
            <w:r>
              <w:t>How long the oEmbed response may be cached; it does not necessarily authorize storing the media bytes.</w:t>
            </w:r>
          </w:p>
        </w:tc>
      </w:tr>
    </w:tbl>
    <w:p>
      <w:pPr>
        <w:spacing w:after="0"/>
      </w:pPr>
    </w:p>
    <w:p>
      <w:pPr>
        <w:pStyle w:val="Heading2"/>
      </w:pPr>
      <w:r>
        <w:t>Determine the actual route</w:t>
      </w:r>
    </w:p>
    <w:tbl>
      <w:tblPr>
        <w:tblStyle w:val="TableGrid"/>
        <w:tblW w:type="dxa" w:w="9360"/>
        <w:jc w:val="left"/>
        <w:tblLayout w:type="fixed"/>
        <w:tblLook w:firstColumn="1" w:firstRow="1" w:lastColumn="0" w:lastRow="0" w:noHBand="0" w:noVBand="1" w:val="04A0"/>
      </w:tblPr>
      <w:tblGrid>
        <w:gridCol w:w="1650"/>
        <w:gridCol w:w="3700"/>
        <w:gridCol w:w="4010"/>
      </w:tblGrid>
      <w:tr>
        <w:trPr>
          <w:tblHeader w:val="true"/>
        </w:trPr>
        <w:tc>
          <w:tcPr>
            <w:tcW w:type="dxa" w:w="1650"/>
            <w:shd w:fill="F2F4F7"/>
            <w:tcMar>
              <w:top w:w="80" w:type="dxa"/>
              <w:start w:w="120" w:type="dxa"/>
              <w:bottom w:w="80" w:type="dxa"/>
              <w:end w:w="120" w:type="dxa"/>
            </w:tcMar>
            <w:vAlign w:val="top"/>
          </w:tcPr>
          <w:p>
            <w:r>
              <w:rPr>
                <w:b/>
              </w:rPr>
              <w:t>Route</w:t>
            </w:r>
          </w:p>
        </w:tc>
        <w:tc>
          <w:tcPr>
            <w:tcW w:type="dxa" w:w="3700"/>
            <w:shd w:fill="F2F4F7"/>
            <w:tcMar>
              <w:top w:w="80" w:type="dxa"/>
              <w:start w:w="120" w:type="dxa"/>
              <w:bottom w:w="80" w:type="dxa"/>
              <w:end w:w="120" w:type="dxa"/>
            </w:tcMar>
            <w:vAlign w:val="top"/>
          </w:tcPr>
          <w:p>
            <w:r>
              <w:rPr>
                <w:b/>
              </w:rPr>
              <w:t>What it means technically</w:t>
            </w:r>
          </w:p>
        </w:tc>
        <w:tc>
          <w:tcPr>
            <w:tcW w:type="dxa" w:w="4010"/>
            <w:shd w:fill="F2F4F7"/>
            <w:tcMar>
              <w:top w:w="80" w:type="dxa"/>
              <w:start w:w="120" w:type="dxa"/>
              <w:bottom w:w="80" w:type="dxa"/>
              <w:end w:w="120" w:type="dxa"/>
            </w:tcMar>
            <w:vAlign w:val="top"/>
          </w:tcPr>
          <w:p>
            <w:r>
              <w:rPr>
                <w:b/>
              </w:rPr>
              <w:t>Evidence to request or preserve</w:t>
            </w:r>
          </w:p>
        </w:tc>
      </w:tr>
      <w:tr>
        <w:trPr>
          <w:cantSplit/>
        </w:trPr>
        <w:tc>
          <w:tcPr>
            <w:tcW w:type="dxa" w:w="1650"/>
            <w:tcMar>
              <w:top w:w="80" w:type="dxa"/>
              <w:start w:w="120" w:type="dxa"/>
              <w:bottom w:w="80" w:type="dxa"/>
              <w:end w:w="120" w:type="dxa"/>
            </w:tcMar>
            <w:vAlign w:val="top"/>
          </w:tcPr>
          <w:p>
            <w:r>
              <w:t>Original-source URL (hotlink)</w:t>
            </w:r>
          </w:p>
        </w:tc>
        <w:tc>
          <w:tcPr>
            <w:tcW w:type="dxa" w:w="3700"/>
            <w:tcMar>
              <w:top w:w="80" w:type="dxa"/>
              <w:start w:w="120" w:type="dxa"/>
              <w:bottom w:w="80" w:type="dxa"/>
              <w:end w:w="120" w:type="dxa"/>
            </w:tcMar>
            <w:vAlign w:val="top"/>
          </w:tcPr>
          <w:p>
            <w:r>
              <w:t>The browser requests the publisher or CDN URL directly; the bytes are not stored on your systems.</w:t>
            </w:r>
          </w:p>
        </w:tc>
        <w:tc>
          <w:tcPr>
            <w:tcW w:type="dxa" w:w="4010"/>
            <w:tcMar>
              <w:top w:w="80" w:type="dxa"/>
              <w:start w:w="120" w:type="dxa"/>
              <w:bottom w:w="80" w:type="dxa"/>
              <w:end w:w="120" w:type="dxa"/>
            </w:tcMar>
            <w:vAlign w:val="top"/>
          </w:tcPr>
          <w:p>
            <w:r>
              <w:t>HTML, network log, request initiator, redirect chain, remote URL, response headers, delivery host.</w:t>
            </w:r>
          </w:p>
        </w:tc>
      </w:tr>
      <w:tr>
        <w:trPr>
          <w:cantSplit/>
        </w:trPr>
        <w:tc>
          <w:tcPr>
            <w:tcW w:type="dxa" w:w="1650"/>
            <w:tcMar>
              <w:top w:w="80" w:type="dxa"/>
              <w:start w:w="120" w:type="dxa"/>
              <w:bottom w:w="80" w:type="dxa"/>
              <w:end w:w="120" w:type="dxa"/>
            </w:tcMar>
            <w:vAlign w:val="top"/>
          </w:tcPr>
          <w:p>
            <w:r>
              <w:t>Proxy</w:t>
            </w:r>
          </w:p>
        </w:tc>
        <w:tc>
          <w:tcPr>
            <w:tcW w:type="dxa" w:w="3700"/>
            <w:tcMar>
              <w:top w:w="80" w:type="dxa"/>
              <w:start w:w="120" w:type="dxa"/>
              <w:bottom w:w="80" w:type="dxa"/>
              <w:end w:w="120" w:type="dxa"/>
            </w:tcMar>
            <w:vAlign w:val="top"/>
          </w:tcPr>
          <w:p>
            <w:r>
              <w:t>A service fetches and relays the bytes through its own endpoint.</w:t>
            </w:r>
          </w:p>
        </w:tc>
        <w:tc>
          <w:tcPr>
            <w:tcW w:type="dxa" w:w="4010"/>
            <w:tcMar>
              <w:top w:w="80" w:type="dxa"/>
              <w:start w:w="120" w:type="dxa"/>
              <w:bottom w:w="80" w:type="dxa"/>
              <w:end w:w="120" w:type="dxa"/>
            </w:tcMar>
            <w:vAlign w:val="top"/>
          </w:tcPr>
          <w:p>
            <w:r>
              <w:t>Proxy URL, fetch logs, cache headers, retention.</w:t>
            </w:r>
          </w:p>
        </w:tc>
      </w:tr>
      <w:tr>
        <w:trPr>
          <w:cantSplit/>
        </w:trPr>
        <w:tc>
          <w:tcPr>
            <w:tcW w:type="dxa" w:w="1650"/>
            <w:tcMar>
              <w:top w:w="80" w:type="dxa"/>
              <w:start w:w="120" w:type="dxa"/>
              <w:bottom w:w="80" w:type="dxa"/>
              <w:end w:w="120" w:type="dxa"/>
            </w:tcMar>
            <w:vAlign w:val="top"/>
          </w:tcPr>
          <w:p>
            <w:r>
              <w:t>Cached copy</w:t>
            </w:r>
          </w:p>
        </w:tc>
        <w:tc>
          <w:tcPr>
            <w:tcW w:type="dxa" w:w="3700"/>
            <w:tcMar>
              <w:top w:w="80" w:type="dxa"/>
              <w:start w:w="120" w:type="dxa"/>
              <w:bottom w:w="80" w:type="dxa"/>
              <w:end w:w="120" w:type="dxa"/>
            </w:tcMar>
            <w:vAlign w:val="top"/>
          </w:tcPr>
          <w:p>
            <w:r>
              <w:t>A separate copy is stored temporarily or persistently on your server, CDN, or image service.</w:t>
            </w:r>
          </w:p>
        </w:tc>
        <w:tc>
          <w:tcPr>
            <w:tcW w:type="dxa" w:w="4010"/>
            <w:tcMar>
              <w:top w:w="80" w:type="dxa"/>
              <w:start w:w="120" w:type="dxa"/>
              <w:bottom w:w="80" w:type="dxa"/>
              <w:end w:w="120" w:type="dxa"/>
            </w:tcMar>
            <w:vAlign w:val="top"/>
          </w:tcPr>
          <w:p>
            <w:r>
              <w:t>Storage key, TTL, creation/expiry timestamps, purge logs, hash, dimensions, proof of automatic unmodified processing.</w:t>
            </w:r>
          </w:p>
        </w:tc>
      </w:tr>
      <w:tr>
        <w:trPr>
          <w:cantSplit/>
        </w:trPr>
        <w:tc>
          <w:tcPr>
            <w:tcW w:type="dxa" w:w="1650"/>
            <w:tcMar>
              <w:top w:w="80" w:type="dxa"/>
              <w:start w:w="120" w:type="dxa"/>
              <w:bottom w:w="80" w:type="dxa"/>
              <w:end w:w="120" w:type="dxa"/>
            </w:tcMar>
            <w:vAlign w:val="top"/>
          </w:tcPr>
          <w:p>
            <w:r>
              <w:t>Upload</w:t>
            </w:r>
          </w:p>
        </w:tc>
        <w:tc>
          <w:tcPr>
            <w:tcW w:type="dxa" w:w="3700"/>
            <w:tcMar>
              <w:top w:w="80" w:type="dxa"/>
              <w:start w:w="120" w:type="dxa"/>
              <w:bottom w:w="80" w:type="dxa"/>
              <w:end w:w="120" w:type="dxa"/>
            </w:tcMar>
            <w:vAlign w:val="top"/>
          </w:tcPr>
          <w:p>
            <w:r>
              <w:t>A person or system placed a copy in controlled storage.</w:t>
            </w:r>
          </w:p>
        </w:tc>
        <w:tc>
          <w:tcPr>
            <w:tcW w:type="dxa" w:w="4010"/>
            <w:tcMar>
              <w:top w:w="80" w:type="dxa"/>
              <w:start w:w="120" w:type="dxa"/>
              <w:bottom w:w="80" w:type="dxa"/>
              <w:end w:w="120" w:type="dxa"/>
            </w:tcMar>
            <w:vAlign w:val="top"/>
          </w:tcPr>
          <w:p>
            <w:r>
              <w:t>Uploader identity, CMS record, original filename, hash.</w:t>
            </w:r>
          </w:p>
        </w:tc>
      </w:tr>
      <w:tr>
        <w:trPr>
          <w:cantSplit/>
        </w:trPr>
        <w:tc>
          <w:tcPr>
            <w:tcW w:type="dxa" w:w="1650"/>
            <w:tcMar>
              <w:top w:w="80" w:type="dxa"/>
              <w:start w:w="120" w:type="dxa"/>
              <w:bottom w:w="80" w:type="dxa"/>
              <w:end w:w="120" w:type="dxa"/>
            </w:tcMar>
            <w:vAlign w:val="top"/>
          </w:tcPr>
          <w:p>
            <w:r>
              <w:t>Platform embed</w:t>
            </w:r>
          </w:p>
        </w:tc>
        <w:tc>
          <w:tcPr>
            <w:tcW w:type="dxa" w:w="3700"/>
            <w:tcMar>
              <w:top w:w="80" w:type="dxa"/>
              <w:start w:w="120" w:type="dxa"/>
              <w:bottom w:w="80" w:type="dxa"/>
              <w:end w:w="120" w:type="dxa"/>
            </w:tcMar>
            <w:vAlign w:val="top"/>
          </w:tcPr>
          <w:p>
            <w:r>
              <w:t>Third-party code or an official embed renders the content.</w:t>
            </w:r>
          </w:p>
        </w:tc>
        <w:tc>
          <w:tcPr>
            <w:tcW w:type="dxa" w:w="4010"/>
            <w:tcMar>
              <w:top w:w="80" w:type="dxa"/>
              <w:start w:w="120" w:type="dxa"/>
              <w:bottom w:w="80" w:type="dxa"/>
              <w:end w:w="120" w:type="dxa"/>
            </w:tcMar>
            <w:vAlign w:val="top"/>
          </w:tcPr>
          <w:p>
            <w:r>
              <w:t>Embed code, API response, platform terms, request trace.</w:t>
            </w:r>
          </w:p>
        </w:tc>
      </w:tr>
    </w:tbl>
    <w:p>
      <w:pPr>
        <w:spacing w:after="0"/>
      </w:pP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EAF2F8"/>
            <w:tcMar>
              <w:top w:w="80" w:type="dxa"/>
              <w:start w:w="120" w:type="dxa"/>
              <w:bottom w:w="80" w:type="dxa"/>
              <w:end w:w="120" w:type="dxa"/>
            </w:tcMar>
            <w:vAlign w:val="top"/>
          </w:tcPr>
          <w:p>
            <w:r/>
            <w:r>
              <w:rPr>
                <w:b/>
                <w:color w:val="1F4D78"/>
              </w:rPr>
              <w:t>Why the route matters</w:t>
            </w:r>
            <w:r>
              <w:br/>
              <w:t>In the Ninth Circuit, the server test (Perfect 10 v. Amazon; Hunley v. Instagram) can matter to a direct display theory when the image is served from the original-source URL — but it is jurisdictionally limited and does not decide reproduction claims. A cached copy raises a separate reproduction question; the 17 U.S.C. § 512(b) system-caching conditions matter only if its automatic, intermediate, temporary, transmission, refresh, access, and notice conditions are actually satisfied. Caching is not automatically fair use or a safe harbor.</w:t>
            </w:r>
          </w:p>
        </w:tc>
      </w:tr>
    </w:tbl>
    <w:p>
      <w:pPr>
        <w:spacing w:after="0"/>
      </w:pPr>
    </w:p>
    <w:p>
      <w:pPr>
        <w:sectPr>
          <w:headerReference w:type="default" r:id="rId54"/>
          <w:footerReference w:type="default" r:id="rId55"/>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6. Assessment framework</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EAF2F8"/>
            <w:tcMar>
              <w:top w:w="80" w:type="dxa"/>
              <w:start w:w="120" w:type="dxa"/>
              <w:bottom w:w="80" w:type="dxa"/>
              <w:end w:w="120" w:type="dxa"/>
            </w:tcMar>
            <w:vAlign w:val="top"/>
          </w:tcPr>
          <w:p>
            <w:r/>
            <w:r>
              <w:rPr>
                <w:b/>
                <w:color w:val="1F4D78"/>
              </w:rPr>
              <w:t>No shortcut rule</w:t>
            </w:r>
            <w:r>
              <w:br/>
              <w:t>Aggregation, attribution, noncommercial status, small size, or use of a headline does not by itself decide infringement or fair use. Treat each as one fact in a larger analysis.</w:t>
            </w:r>
          </w:p>
        </w:tc>
      </w:tr>
    </w:tbl>
    <w:p>
      <w:pPr>
        <w:spacing w:after="0"/>
      </w:pPr>
    </w:p>
    <w:p>
      <w:pPr>
        <w:pStyle w:val="Heading2"/>
      </w:pPr>
      <w:r>
        <w:t>Rights and responsibility</w:t>
      </w:r>
    </w:p>
    <w:p>
      <w:pPr>
        <w:pStyle w:val="ListBullet"/>
        <w:keepLines/>
        <w:spacing w:after="140"/>
      </w:pPr>
      <w:r>
        <w:t>Work identity: Is the claimed photograph the same file or a crop, composite, screenshot, or derivative? Compare reliable identifiers and hashes where available.</w:t>
      </w:r>
    </w:p>
    <w:p>
      <w:pPr>
        <w:pStyle w:val="ListBullet"/>
        <w:keepLines/>
        <w:spacing w:after="140"/>
      </w:pPr>
      <w:r>
        <w:t>Ownership and authority: What chain of title, assignment, exclusive license, or enforcement authorization supports the demand?</w:t>
      </w:r>
    </w:p>
    <w:p>
      <w:pPr>
        <w:pStyle w:val="ListBullet"/>
        <w:keepLines/>
        <w:spacing w:after="140"/>
      </w:pPr>
      <w:r>
        <w:t>License or permission: Did a contract, API, syndication feed, platform term, publisher metadata, or direct permission authorize this particular use?</w:t>
      </w:r>
    </w:p>
    <w:p>
      <w:pPr>
        <w:pStyle w:val="ListBullet"/>
        <w:keepLines/>
        <w:spacing w:after="140"/>
      </w:pPr>
      <w:r>
        <w:t>Technical act: Who selected the image, caused the copy, stored it, transmitted it, or displayed it? The answer can differ by architecture.</w:t>
      </w:r>
    </w:p>
    <w:p>
      <w:pPr>
        <w:pStyle w:val="ListBullet"/>
        <w:keepLines/>
        <w:spacing w:after="140"/>
      </w:pPr>
      <w:r>
        <w:t>Notice and response: When did each relevant party learn of the use, and what happened afterward? Preserve facts without assuming their legal effect.</w:t>
      </w:r>
    </w:p>
    <w:p>
      <w:pPr>
        <w:pStyle w:val="Heading2"/>
      </w:pPr>
      <w:r>
        <w:t>U.S. fair-use factors (17 U.S.C. § 107)</w:t>
      </w:r>
    </w:p>
    <w:tbl>
      <w:tblPr>
        <w:tblStyle w:val="TableGrid"/>
        <w:tblW w:type="dxa" w:w="9360"/>
        <w:jc w:val="left"/>
        <w:tblLayout w:type="fixed"/>
        <w:tblLook w:firstColumn="1" w:firstRow="1" w:lastColumn="0" w:lastRow="0" w:noHBand="0" w:noVBand="1" w:val="04A0"/>
      </w:tblPr>
      <w:tblGrid>
        <w:gridCol w:w="2600"/>
        <w:gridCol w:w="6760"/>
      </w:tblGrid>
      <w:tr>
        <w:trPr>
          <w:cantSplit/>
          <w:tblHeader w:val="true"/>
        </w:trPr>
        <w:tc>
          <w:tcPr>
            <w:tcW w:type="dxa" w:w="2600"/>
            <w:shd w:fill="F2F4F7"/>
            <w:tcMar>
              <w:top w:w="80" w:type="dxa"/>
              <w:start w:w="120" w:type="dxa"/>
              <w:bottom w:w="80" w:type="dxa"/>
              <w:end w:w="120" w:type="dxa"/>
            </w:tcMar>
            <w:vAlign w:val="top"/>
          </w:tcPr>
          <w:p>
            <w:r>
              <w:rPr>
                <w:b/>
              </w:rPr>
              <w:t>Purpose and character</w:t>
            </w:r>
          </w:p>
        </w:tc>
        <w:tc>
          <w:tcPr>
            <w:tcW w:type="dxa" w:w="6760"/>
            <w:tcMar>
              <w:top w:w="80" w:type="dxa"/>
              <w:start w:w="120" w:type="dxa"/>
              <w:bottom w:w="80" w:type="dxa"/>
              <w:end w:w="120" w:type="dxa"/>
            </w:tcMar>
            <w:vAlign w:val="top"/>
          </w:tcPr>
          <w:p>
            <w:r>
              <w:t>Commercial or nonprofit context; whether the specific use has a further purpose or new meaning; news reporting is an enumerated purpose. Bad faith is not dispositive.</w:t>
            </w:r>
          </w:p>
        </w:tc>
      </w:tr>
      <w:tr>
        <w:trPr>
          <w:cantSplit/>
        </w:trPr>
        <w:tc>
          <w:tcPr>
            <w:tcW w:type="dxa" w:w="2600"/>
            <w:shd w:fill="F2F4F7"/>
            <w:tcMar>
              <w:top w:w="80" w:type="dxa"/>
              <w:start w:w="120" w:type="dxa"/>
              <w:bottom w:w="80" w:type="dxa"/>
              <w:end w:w="120" w:type="dxa"/>
            </w:tcMar>
            <w:vAlign w:val="top"/>
          </w:tcPr>
          <w:p>
            <w:r>
              <w:rPr>
                <w:b/>
              </w:rPr>
              <w:t>Nature of the work</w:t>
            </w:r>
          </w:p>
        </w:tc>
        <w:tc>
          <w:tcPr>
            <w:tcW w:type="dxa" w:w="6760"/>
            <w:tcMar>
              <w:top w:w="80" w:type="dxa"/>
              <w:start w:w="120" w:type="dxa"/>
              <w:bottom w:w="80" w:type="dxa"/>
              <w:end w:w="120" w:type="dxa"/>
            </w:tcMar>
            <w:vAlign w:val="top"/>
          </w:tcPr>
          <w:p>
            <w:r>
              <w:t>Published or unpublished; factual or creative character. Photographs can still receive strong protection.</w:t>
            </w:r>
          </w:p>
        </w:tc>
      </w:tr>
      <w:tr>
        <w:trPr>
          <w:cantSplit/>
        </w:trPr>
        <w:tc>
          <w:tcPr>
            <w:tcW w:type="dxa" w:w="2600"/>
            <w:shd w:fill="F2F4F7"/>
            <w:tcMar>
              <w:top w:w="80" w:type="dxa"/>
              <w:start w:w="120" w:type="dxa"/>
              <w:bottom w:w="80" w:type="dxa"/>
              <w:end w:w="120" w:type="dxa"/>
            </w:tcMar>
            <w:vAlign w:val="top"/>
          </w:tcPr>
          <w:p>
            <w:r>
              <w:rPr>
                <w:b/>
              </w:rPr>
              <w:t>Amount and substantiality</w:t>
            </w:r>
          </w:p>
        </w:tc>
        <w:tc>
          <w:tcPr>
            <w:tcW w:type="dxa" w:w="6760"/>
            <w:tcMar>
              <w:top w:w="80" w:type="dxa"/>
              <w:start w:w="120" w:type="dxa"/>
              <w:bottom w:w="80" w:type="dxa"/>
              <w:end w:w="120" w:type="dxa"/>
            </w:tcMar>
            <w:vAlign w:val="top"/>
          </w:tcPr>
          <w:p>
            <w:r>
              <w:t>Quantity and qualitative value used. A small preview at reduced size uses less expressive value, but a reduced image may still reproduce the whole work.</w:t>
            </w:r>
          </w:p>
        </w:tc>
      </w:tr>
      <w:tr>
        <w:trPr>
          <w:cantSplit/>
        </w:trPr>
        <w:tc>
          <w:tcPr>
            <w:tcW w:type="dxa" w:w="2600"/>
            <w:shd w:fill="F2F4F7"/>
            <w:tcMar>
              <w:top w:w="80" w:type="dxa"/>
              <w:start w:w="120" w:type="dxa"/>
              <w:bottom w:w="80" w:type="dxa"/>
              <w:end w:w="120" w:type="dxa"/>
            </w:tcMar>
            <w:vAlign w:val="top"/>
          </w:tcPr>
          <w:p>
            <w:r>
              <w:rPr>
                <w:b/>
              </w:rPr>
              <w:t>Market effect</w:t>
            </w:r>
          </w:p>
        </w:tc>
        <w:tc>
          <w:tcPr>
            <w:tcW w:type="dxa" w:w="6760"/>
            <w:tcMar>
              <w:top w:w="80" w:type="dxa"/>
              <w:start w:w="120" w:type="dxa"/>
              <w:bottom w:w="80" w:type="dxa"/>
              <w:end w:w="120" w:type="dxa"/>
            </w:tcMar>
            <w:vAlign w:val="top"/>
          </w:tcPr>
          <w:p>
            <w:r>
              <w:t>Actual and likely effect on traditional, reasonable, or likely licensing markets, weighed with the other factors. A brief display period bears on exposure — and a claimant's screenshot proves a moment, not a period.</w:t>
            </w:r>
          </w:p>
        </w:tc>
      </w:tr>
    </w:tbl>
    <w:p>
      <w:pPr>
        <w:spacing w:after="0"/>
      </w:pPr>
    </w:p>
    <w:p>
      <w:pPr>
        <w:pStyle w:val="Heading2"/>
      </w:pPr>
      <w:r>
        <w:t>Aggregation and thumbnail case boundaries</w:t>
      </w:r>
    </w:p>
    <w:tbl>
      <w:tblPr>
        <w:tblStyle w:val="TableGrid"/>
        <w:tblW w:type="dxa" w:w="9360"/>
        <w:jc w:val="left"/>
        <w:tblLayout w:type="fixed"/>
        <w:tblLook w:firstColumn="1" w:firstRow="1" w:lastColumn="0" w:lastRow="0" w:noHBand="0" w:noVBand="1" w:val="04A0"/>
      </w:tblPr>
      <w:tblGrid>
        <w:gridCol w:w="3100"/>
        <w:gridCol w:w="6260"/>
      </w:tblGrid>
      <w:tr>
        <w:trPr>
          <w:tblHeader w:val="true"/>
        </w:trPr>
        <w:tc>
          <w:tcPr>
            <w:tcW w:type="dxa" w:w="3100"/>
            <w:shd w:fill="F2F4F7"/>
            <w:tcMar>
              <w:top w:w="80" w:type="dxa"/>
              <w:start w:w="120" w:type="dxa"/>
              <w:bottom w:w="80" w:type="dxa"/>
              <w:end w:w="120" w:type="dxa"/>
            </w:tcMar>
            <w:vAlign w:val="top"/>
          </w:tcPr>
          <w:p>
            <w:r>
              <w:rPr>
                <w:b/>
              </w:rPr>
              <w:t>Case</w:t>
            </w:r>
          </w:p>
        </w:tc>
        <w:tc>
          <w:tcPr>
            <w:tcW w:type="dxa" w:w="6260"/>
            <w:shd w:fill="F2F4F7"/>
            <w:tcMar>
              <w:top w:w="80" w:type="dxa"/>
              <w:start w:w="120" w:type="dxa"/>
              <w:bottom w:w="80" w:type="dxa"/>
              <w:end w:w="120" w:type="dxa"/>
            </w:tcMar>
            <w:vAlign w:val="top"/>
          </w:tcPr>
          <w:p>
            <w:r>
              <w:rPr>
                <w:b/>
              </w:rPr>
              <w:t>Holding and limit</w:t>
            </w:r>
          </w:p>
        </w:tc>
      </w:tr>
      <w:tr>
        <w:trPr>
          <w:cantSplit/>
        </w:trPr>
        <w:tc>
          <w:tcPr>
            <w:tcW w:type="dxa" w:w="3100"/>
            <w:tcMar>
              <w:top w:w="80" w:type="dxa"/>
              <w:start w:w="120" w:type="dxa"/>
              <w:bottom w:w="80" w:type="dxa"/>
              <w:end w:w="120" w:type="dxa"/>
            </w:tcMar>
            <w:vAlign w:val="top"/>
          </w:tcPr>
          <w:p>
            <w:r>
              <w:t>Kelly v. Arriba Soft (9th Cir. 2003)</w:t>
            </w:r>
          </w:p>
        </w:tc>
        <w:tc>
          <w:tcPr>
            <w:tcW w:type="dxa" w:w="6260"/>
            <w:tcMar>
              <w:top w:w="80" w:type="dxa"/>
              <w:start w:w="120" w:type="dxa"/>
              <w:bottom w:w="80" w:type="dxa"/>
              <w:end w:w="120" w:type="dxa"/>
            </w:tcMar>
            <w:vAlign w:val="top"/>
          </w:tcPr>
          <w:p>
            <w:r>
              <w:t>Search-engine thumbnails held fair use: indexing purpose, reduced size, no substitution. Not a rule that every thumbnail passes.</w:t>
            </w:r>
          </w:p>
        </w:tc>
      </w:tr>
      <w:tr>
        <w:trPr>
          <w:cantSplit/>
        </w:trPr>
        <w:tc>
          <w:tcPr>
            <w:tcW w:type="dxa" w:w="3100"/>
            <w:tcMar>
              <w:top w:w="80" w:type="dxa"/>
              <w:start w:w="120" w:type="dxa"/>
              <w:bottom w:w="80" w:type="dxa"/>
              <w:end w:w="120" w:type="dxa"/>
            </w:tcMar>
            <w:vAlign w:val="top"/>
          </w:tcPr>
          <w:p>
            <w:r>
              <w:t>Perfect 10 v. Amazon (9th Cir. 2007)</w:t>
            </w:r>
          </w:p>
        </w:tc>
        <w:tc>
          <w:tcPr>
            <w:tcW w:type="dxa" w:w="6260"/>
            <w:tcMar>
              <w:top w:w="80" w:type="dxa"/>
              <w:start w:w="120" w:type="dxa"/>
              <w:bottom w:w="80" w:type="dxa"/>
              <w:end w:w="120" w:type="dxa"/>
            </w:tcMar>
            <w:vAlign w:val="top"/>
          </w:tcPr>
          <w:p>
            <w:r>
              <w:t>Thumbnails again favored fair use; the server test defeated a direct display claim for images served from third-party servers. Ninth Circuit only.</w:t>
            </w:r>
          </w:p>
        </w:tc>
      </w:tr>
      <w:tr>
        <w:trPr>
          <w:cantSplit/>
        </w:trPr>
        <w:tc>
          <w:tcPr>
            <w:tcW w:type="dxa" w:w="3100"/>
            <w:tcMar>
              <w:top w:w="80" w:type="dxa"/>
              <w:start w:w="120" w:type="dxa"/>
              <w:bottom w:w="80" w:type="dxa"/>
              <w:end w:w="120" w:type="dxa"/>
            </w:tcMar>
            <w:vAlign w:val="top"/>
          </w:tcPr>
          <w:p>
            <w:r>
              <w:t>Hunley v. Instagram (9th Cir. 2023)</w:t>
            </w:r>
          </w:p>
        </w:tc>
        <w:tc>
          <w:tcPr>
            <w:tcW w:type="dxa" w:w="6260"/>
            <w:tcMar>
              <w:top w:w="80" w:type="dxa"/>
              <w:start w:w="120" w:type="dxa"/>
              <w:bottom w:w="80" w:type="dxa"/>
              <w:end w:w="120" w:type="dxa"/>
            </w:tcMar>
            <w:vAlign w:val="top"/>
          </w:tcPr>
          <w:p>
            <w:r>
              <w:t>Server test applied to embeds. Display right only; other theories remain.</w:t>
            </w:r>
          </w:p>
        </w:tc>
      </w:tr>
      <w:tr>
        <w:trPr>
          <w:cantSplit/>
        </w:trPr>
        <w:tc>
          <w:tcPr>
            <w:tcW w:type="dxa" w:w="3100"/>
            <w:tcMar>
              <w:top w:w="80" w:type="dxa"/>
              <w:start w:w="120" w:type="dxa"/>
              <w:bottom w:w="80" w:type="dxa"/>
              <w:end w:w="120" w:type="dxa"/>
            </w:tcMar>
            <w:vAlign w:val="top"/>
          </w:tcPr>
          <w:p>
            <w:r>
              <w:t>Authors Guild v. Google (2d Cir. 2015)</w:t>
            </w:r>
          </w:p>
        </w:tc>
        <w:tc>
          <w:tcPr>
            <w:tcW w:type="dxa" w:w="6260"/>
            <w:tcMar>
              <w:top w:w="80" w:type="dxa"/>
              <w:start w:w="120" w:type="dxa"/>
              <w:bottom w:w="80" w:type="dxa"/>
              <w:end w:w="120" w:type="dxa"/>
            </w:tcMar>
            <w:vAlign w:val="top"/>
          </w:tcPr>
          <w:p>
            <w:r>
              <w:t>Mass indexing and limited snippets held transformative. Snippet limits were central.</w:t>
            </w:r>
          </w:p>
        </w:tc>
      </w:tr>
      <w:tr>
        <w:trPr>
          <w:cantSplit/>
        </w:trPr>
        <w:tc>
          <w:tcPr>
            <w:tcW w:type="dxa" w:w="3100"/>
            <w:tcMar>
              <w:top w:w="80" w:type="dxa"/>
              <w:start w:w="120" w:type="dxa"/>
              <w:bottom w:w="80" w:type="dxa"/>
              <w:end w:w="120" w:type="dxa"/>
            </w:tcMar>
            <w:vAlign w:val="top"/>
          </w:tcPr>
          <w:p>
            <w:r>
              <w:t>AP v. Meltwater (S.D.N.Y. 2013)</w:t>
            </w:r>
          </w:p>
        </w:tc>
        <w:tc>
          <w:tcPr>
            <w:tcW w:type="dxa" w:w="6260"/>
            <w:tcMar>
              <w:top w:w="80" w:type="dxa"/>
              <w:start w:w="120" w:type="dxa"/>
              <w:bottom w:w="80" w:type="dxa"/>
              <w:end w:w="120" w:type="dxa"/>
            </w:tcMar>
            <w:vAlign w:val="top"/>
          </w:tcPr>
          <w:p>
            <w:r>
              <w:t>Commercial clipping that substituted for the originals lost fair use — the boundary case.</w:t>
            </w:r>
          </w:p>
        </w:tc>
      </w:tr>
      <w:tr>
        <w:trPr>
          <w:cantSplit/>
        </w:trPr>
        <w:tc>
          <w:tcPr>
            <w:tcW w:type="dxa" w:w="3100"/>
            <w:tcMar>
              <w:top w:w="80" w:type="dxa"/>
              <w:start w:w="120" w:type="dxa"/>
              <w:bottom w:w="80" w:type="dxa"/>
              <w:end w:w="120" w:type="dxa"/>
            </w:tcMar>
            <w:vAlign w:val="top"/>
          </w:tcPr>
          <w:p>
            <w:r>
              <w:t>Brammer v. Violent Hues (4th Cir. 2019)</w:t>
            </w:r>
          </w:p>
        </w:tc>
        <w:tc>
          <w:tcPr>
            <w:tcW w:type="dxa" w:w="6260"/>
            <w:tcMar>
              <w:top w:w="80" w:type="dxa"/>
              <w:start w:w="120" w:type="dxa"/>
              <w:bottom w:w="80" w:type="dxa"/>
              <w:end w:w="120" w:type="dxa"/>
            </w:tcMar>
            <w:vAlign w:val="top"/>
          </w:tcPr>
          <w:p>
            <w:r>
              <w:t>Same-purpose reuse of a found photo lost. What the aggregation defense is not.</w:t>
            </w:r>
          </w:p>
        </w:tc>
      </w:tr>
      <w:tr>
        <w:trPr>
          <w:cantSplit/>
        </w:trPr>
        <w:tc>
          <w:tcPr>
            <w:tcW w:type="dxa" w:w="3100"/>
            <w:tcMar>
              <w:top w:w="80" w:type="dxa"/>
              <w:start w:w="120" w:type="dxa"/>
              <w:bottom w:w="80" w:type="dxa"/>
              <w:end w:w="120" w:type="dxa"/>
            </w:tcMar>
            <w:vAlign w:val="top"/>
          </w:tcPr>
          <w:p>
            <w:r>
              <w:t>Warhol v. Goldsmith (U.S. 2023)</w:t>
            </w:r>
          </w:p>
        </w:tc>
        <w:tc>
          <w:tcPr>
            <w:tcW w:type="dxa" w:w="6260"/>
            <w:tcMar>
              <w:top w:w="80" w:type="dxa"/>
              <w:start w:w="120" w:type="dxa"/>
              <w:bottom w:w="80" w:type="dxa"/>
              <w:end w:w="120" w:type="dxa"/>
            </w:tcMar>
            <w:vAlign w:val="top"/>
          </w:tcPr>
          <w:p>
            <w:r>
              <w:t>Factor one turns on the specific use's purpose and commerciality.</w:t>
            </w:r>
          </w:p>
        </w:tc>
      </w:tr>
    </w:tbl>
    <w:p>
      <w:pPr>
        <w:spacing w:after="0"/>
      </w:pPr>
    </w:p>
    <w:p>
      <w:pPr>
        <w:sectPr>
          <w:headerReference w:type="default" r:id="rId56"/>
          <w:footerReference w:type="default" r:id="rId57"/>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7. Registration, remedies, and damages questions</w:t>
      </w:r>
    </w:p>
    <w:p>
      <w:pPr>
        <w:keepLines/>
      </w:pPr>
      <w:r>
        <w:t>In the United States, registration timing can affect access to statutory damages and attorney's fees under 17 U.S.C. § 412. It does not necessarily eliminate a claim or actual-damages remedies. Other countries apply different rules.</w:t>
      </w:r>
    </w:p>
    <w:p>
      <w:pPr>
        <w:keepLines/>
        <w:spacing w:after="60" w:line="240" w:lineRule="auto"/>
        <w:ind w:left="360" w:hanging="360"/>
      </w:pPr>
      <w:r>
        <w:rPr>
          <w:sz w:val="20"/>
        </w:rPr>
        <w:t>☐ What registration number and effective date are asserted, and does the deposited work match the claimed image?</w:t>
      </w:r>
    </w:p>
    <w:p>
      <w:pPr>
        <w:keepLines/>
        <w:spacing w:after="60" w:line="240" w:lineRule="auto"/>
        <w:ind w:left="360" w:hanging="360"/>
      </w:pPr>
      <w:r>
        <w:rPr>
          <w:sz w:val="20"/>
        </w:rPr>
        <w:t>☐ When was the work first published, and when did the alleged use begin and end?</w:t>
      </w:r>
    </w:p>
    <w:p>
      <w:pPr>
        <w:keepLines/>
        <w:spacing w:after="60" w:line="240" w:lineRule="auto"/>
        <w:ind w:left="360" w:hanging="360"/>
      </w:pPr>
      <w:r>
        <w:rPr>
          <w:sz w:val="20"/>
        </w:rPr>
        <w:t>☐ Is the claimant seeking actual damages, infringer profits, statutory damages, a license proxy, administrative fees, or settlement only?</w:t>
      </w:r>
    </w:p>
    <w:p>
      <w:pPr>
        <w:keepLines/>
        <w:spacing w:after="60" w:line="240" w:lineRule="auto"/>
        <w:ind w:left="360" w:hanging="360"/>
      </w:pPr>
      <w:r>
        <w:rPr>
          <w:sz w:val="20"/>
        </w:rPr>
        <w:t>☐ What comparable licenses support the amount, with matching use, audience, duration, territory, size, placement, and exclusivity?</w:t>
      </w:r>
    </w:p>
    <w:p>
      <w:pPr>
        <w:keepLines/>
        <w:spacing w:after="60" w:line="240" w:lineRule="auto"/>
        <w:ind w:left="360" w:hanging="360"/>
      </w:pPr>
      <w:r>
        <w:rPr>
          <w:sz w:val="20"/>
        </w:rPr>
        <w:t>☐ How were any alleged profits attributed to this image rather than the page or business generally?</w:t>
      </w:r>
    </w:p>
    <w:p>
      <w:pPr>
        <w:keepLines/>
        <w:spacing w:after="60" w:line="240" w:lineRule="auto"/>
        <w:ind w:left="360" w:hanging="360"/>
      </w:pPr>
      <w:r>
        <w:rPr>
          <w:sz w:val="20"/>
        </w:rPr>
        <w:t>☐ What mitigation occurred, and what evidence supports the claimed duration or number of impressions?</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FFF7E6"/>
            <w:tcMar>
              <w:top w:w="80" w:type="dxa"/>
              <w:start w:w="120" w:type="dxa"/>
              <w:bottom w:w="80" w:type="dxa"/>
              <w:end w:w="120" w:type="dxa"/>
            </w:tcMar>
            <w:vAlign w:val="top"/>
          </w:tcPr>
          <w:p>
            <w:r/>
            <w:r>
              <w:rPr>
                <w:b/>
                <w:color w:val="B42318"/>
              </w:rPr>
              <w:t>Settlement demand is not a judgment</w:t>
            </w:r>
            <w:r>
              <w:br/>
              <w:t>A demanded amount is an opening position, not a court finding. But silence can increase practical risk. Evaluate the claim, deadline, forum, and cost of obtaining counsel before choosing a response.</w:t>
            </w:r>
          </w:p>
        </w:tc>
      </w:tr>
    </w:tbl>
    <w:p>
      <w:pPr>
        <w:spacing w:after="0"/>
      </w:pPr>
    </w:p>
    <w:p>
      <w:pPr>
        <w:sectPr>
          <w:headerReference w:type="default" r:id="rId58"/>
          <w:footerReference w:type="default" r:id="rId59"/>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8. Claim substantiation gate</w:t>
      </w:r>
    </w:p>
    <w:p>
      <w:pPr>
        <w:keepLines/>
      </w:pPr>
      <w:r>
        <w:t>Do not admit liability, pay, or treat the amount as established merely because a letter contains a deadline. An ordinary pre-suit demand may not be required to attach every document needed in litigation, and missing material does not automatically invalidate a claim — but payment decisions should wait for substantiation. Request only what is reasonably needed to evaluate the claim.</w:t>
      </w:r>
    </w:p>
    <w:p>
      <w:pPr>
        <w:keepLines/>
        <w:spacing w:after="60" w:line="240" w:lineRule="auto"/>
        <w:ind w:left="360" w:hanging="360"/>
      </w:pPr>
      <w:r>
        <w:rPr>
          <w:sz w:val="20"/>
        </w:rPr>
        <w:t>☐ A high-resolution copy of the work claimed and reliable identifiers sufficient to match it to the alleged use.</w:t>
      </w:r>
    </w:p>
    <w:p>
      <w:pPr>
        <w:keepLines/>
        <w:spacing w:after="60" w:line="240" w:lineRule="auto"/>
        <w:ind w:left="360" w:hanging="360"/>
      </w:pPr>
      <w:r>
        <w:rPr>
          <w:sz w:val="20"/>
        </w:rPr>
        <w:t>☐ The photographer/author, copyright owner, chain of title, and the agency's current authority to act and settle.</w:t>
      </w:r>
    </w:p>
    <w:p>
      <w:pPr>
        <w:keepLines/>
        <w:spacing w:after="60" w:line="240" w:lineRule="auto"/>
        <w:ind w:left="360" w:hanging="360"/>
      </w:pPr>
      <w:r>
        <w:rPr>
          <w:sz w:val="20"/>
        </w:rPr>
        <w:t>☐ Any registration certificate, application, deposit identifiers, first-publication date, and the specific work within any group registration.</w:t>
      </w:r>
    </w:p>
    <w:p>
      <w:pPr>
        <w:keepLines/>
        <w:spacing w:after="60" w:line="240" w:lineRule="auto"/>
        <w:ind w:left="360" w:hanging="360"/>
      </w:pPr>
      <w:r>
        <w:rPr>
          <w:sz w:val="20"/>
        </w:rPr>
        <w:t>☐ Every captured URL, screenshot, timestamp, crawler record, and technical basis for the alleged reproduction or display.</w:t>
      </w:r>
    </w:p>
    <w:p>
      <w:pPr>
        <w:keepLines/>
        <w:spacing w:after="60" w:line="240" w:lineRule="auto"/>
        <w:ind w:left="360" w:hanging="360"/>
      </w:pPr>
      <w:r>
        <w:rPr>
          <w:sz w:val="20"/>
        </w:rPr>
        <w:t>☐ The image URL observed, redirect chain, response headers, and whether the capture showed hotlinking, proxying, caching, uploading, or an embed.</w:t>
      </w:r>
    </w:p>
    <w:p>
      <w:pPr>
        <w:keepLines/>
        <w:spacing w:after="60" w:line="240" w:lineRule="auto"/>
        <w:ind w:left="360" w:hanging="360"/>
      </w:pPr>
      <w:r>
        <w:rPr>
          <w:sz w:val="20"/>
        </w:rPr>
        <w:t>☐ All prior notices allegedly sent, with dates, recipients, delivery method, attachments, and delivery confirmation.</w:t>
      </w:r>
    </w:p>
    <w:p>
      <w:pPr>
        <w:keepLines/>
        <w:spacing w:after="60" w:line="240" w:lineRule="auto"/>
        <w:ind w:left="360" w:hanging="360"/>
      </w:pPr>
      <w:r>
        <w:rPr>
          <w:sz w:val="20"/>
        </w:rPr>
        <w:t>☐ The legal and factual basis for the amount demanded, including comparable licenses and adjustments for duration, audience, placement, and territory.</w:t>
      </w:r>
    </w:p>
    <w:p>
      <w:pPr>
        <w:keepLines/>
        <w:spacing w:after="60" w:line="240" w:lineRule="auto"/>
        <w:ind w:left="360" w:hanging="360"/>
      </w:pPr>
      <w:r>
        <w:rPr>
          <w:sz w:val="20"/>
        </w:rPr>
        <w:t>☐ Whether the claimant contends that social-preview or structured-data metadata is irrelevant, and the reason for that position.</w:t>
      </w:r>
    </w:p>
    <w:p>
      <w:pPr>
        <w:keepLines/>
        <w:spacing w:after="60" w:line="240" w:lineRule="auto"/>
        <w:ind w:left="360" w:hanging="360"/>
      </w:pPr>
      <w:r>
        <w:rPr>
          <w:sz w:val="20"/>
        </w:rPr>
        <w:t>☐ Evidence establishing the alleged display period — a single capture establishes a moment, not a period.</w:t>
      </w:r>
    </w:p>
    <w:p>
      <w:pPr>
        <w:keepLines/>
        <w:spacing w:after="60" w:line="240" w:lineRule="auto"/>
        <w:ind w:left="360" w:hanging="360"/>
      </w:pPr>
      <w:r>
        <w:rPr>
          <w:sz w:val="20"/>
        </w:rPr>
        <w:t>☐ Confirmation that relevant claimant-side evidence and system records will be preserved.</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EAF2F8"/>
            <w:tcMar>
              <w:top w:w="80" w:type="dxa"/>
              <w:start w:w="120" w:type="dxa"/>
              <w:bottom w:w="80" w:type="dxa"/>
              <w:end w:w="120" w:type="dxa"/>
            </w:tcMar>
            <w:vAlign w:val="top"/>
          </w:tcPr>
          <w:p>
            <w:r/>
            <w:r>
              <w:rPr>
                <w:b/>
                <w:color w:val="1F4D78"/>
              </w:rPr>
              <w:t>Customizable position language</w:t>
            </w:r>
            <w:r>
              <w:br/>
              <w:t>“The materials presently provided are insufficient to establish ownership, authority, actionable copying or display, the alleged delivery method, damages, or the absence of authorization or fair use. The claim remains unsubstantiated pending production of the requested information.”</w:t>
            </w:r>
          </w:p>
        </w:tc>
      </w:tr>
    </w:tbl>
    <w:p>
      <w:pPr>
        <w:spacing w:after="0"/>
      </w:pPr>
    </w:p>
    <w:p>
      <w:pPr>
        <w:sectPr>
          <w:headerReference w:type="default" r:id="rId60"/>
          <w:footerReference w:type="default" r:id="rId61"/>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9. Reusable no-admission response letter</w:t>
      </w:r>
    </w:p>
    <w:p>
      <w:pPr>
        <w:keepLines/>
      </w:pPr>
      <w:r>
        <w:t>{{DATE}}</w:t>
      </w:r>
    </w:p>
    <w:p>
      <w:pPr>
        <w:keepLines/>
      </w:pPr>
      <w:r>
        <w:t>Via {{EMAIL / PORTAL / MAIL}}</w:t>
      </w:r>
    </w:p>
    <w:p>
      <w:pPr>
        <w:keepLines/>
      </w:pPr>
      <w:r>
        <w:t>{{CLAIMANT_OR_AGENCY_NAME}}</w:t>
        <w:br/>
        <w:t>{{ADDRESS_OR_EMAIL}}</w:t>
      </w:r>
    </w:p>
    <w:p>
      <w:pPr>
        <w:keepLines/>
      </w:pPr>
      <w:r>
        <w:rPr>
          <w:b/>
        </w:rPr>
        <w:t>Re:</w:t>
      </w:r>
      <w:r>
        <w:t xml:space="preserve"> {{REFERENCE_NUMBER}} — {{ALLEGED_USE_URL}}</w:t>
      </w:r>
    </w:p>
    <w:p>
      <w:pPr>
        <w:keepLines/>
      </w:pPr>
      <w:r>
        <w:t>To whom it may concern:</w:t>
      </w:r>
    </w:p>
    <w:p>
      <w:pPr>
        <w:keepLines/>
      </w:pPr>
      <w:r>
        <w:t>We acknowledge receipt of your communication concerning the image identified as {{IMAGE_DESCRIPTION_OR_ID}}. We take intellectual-property concerns seriously. The claim as presented is disputed and unsubstantiated. This response is made without admission of liability, ownership, validity, copying, display, damages, willfulness, or the applicability of any remedy, and with all rights and defenses reserved.</w:t>
      </w:r>
    </w:p>
    <w:p>
      <w:pPr>
        <w:keepLines/>
      </w:pPr>
      <w:r>
        <w:t>We are preserving reasonably available information and reviewing the factual, technical, licensing, and legal issues. Pending that review, please provide the materials listed below so the claim and your settlement position can be evaluated accurately:</w:t>
      </w:r>
    </w:p>
    <w:p>
      <w:pPr>
        <w:pStyle w:val="ListBullet"/>
        <w:keepLines/>
        <w:spacing w:after="140"/>
      </w:pPr>
      <w:r>
        <w:t>the work claimed, reliable identifiers, author, owner, chain of title, and your authority to act and settle;</w:t>
      </w:r>
    </w:p>
    <w:p>
      <w:pPr>
        <w:pStyle w:val="ListBullet"/>
        <w:keepLines/>
        <w:spacing w:after="140"/>
      </w:pPr>
      <w:r>
        <w:t>registration and first-publication information, including identification of the work within any group registration;</w:t>
      </w:r>
    </w:p>
    <w:p>
      <w:pPr>
        <w:pStyle w:val="ListBullet"/>
        <w:keepLines/>
        <w:spacing w:after="140"/>
      </w:pPr>
      <w:r>
        <w:t>all URLs, dated captures, screenshots, crawler records, and the technical basis for the alleged reproduction or display;</w:t>
      </w:r>
    </w:p>
    <w:p>
      <w:pPr>
        <w:pStyle w:val="ListBullet"/>
        <w:keepLines/>
        <w:spacing w:after="140"/>
      </w:pPr>
      <w:r>
        <w:t>the image URL and evidence showing whether the content was uploaded, cached, proxied, hotlinked, or rendered through an embed;</w:t>
      </w:r>
    </w:p>
    <w:p>
      <w:pPr>
        <w:pStyle w:val="ListBullet"/>
        <w:keepLines/>
        <w:spacing w:after="140"/>
      </w:pPr>
      <w:r>
        <w:t>all prior notices and proof of delivery; and</w:t>
      </w:r>
    </w:p>
    <w:p>
      <w:pPr>
        <w:pStyle w:val="ListBullet"/>
        <w:keepLines/>
        <w:spacing w:after="140"/>
      </w:pPr>
      <w:r>
        <w:t>a calculation of the amount requested with genuinely comparable licenses and relevant adjustments.</w:t>
      </w:r>
    </w:p>
    <w:p>
      <w:pPr>
        <w:sectPr>
          <w:headerReference w:type="default" r:id="rId62"/>
          <w:footerReference w:type="default" r:id="rId63"/>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9. Response letter — continued</w:t>
      </w:r>
    </w:p>
    <w:p>
      <w:pPr>
        <w:keepLines/>
      </w:pPr>
      <w:r>
        <w:t>The page appears to have operated as {{NEWS / COMMENTARY / SEARCH / AGGREGATION / OTHER}} and may have used {{HEADLINE / EXCERPT / THUMBNAIL / PREVIEW CARD}} associated with {{SOURCE}}. Relevant source metadata may have identified the image through {{OPEN GRAPH / X CARD / JSON-LD / OEMBED / API}}. We do not contend that metadata alone necessarily resolves copyright permission; it is part of the technical and factual context that must be evaluated with the actual delivery route and applicable terms.</w:t>
      </w:r>
    </w:p>
    <w:p>
      <w:pPr>
        <w:keepLines/>
      </w:pPr>
      <w:r>
        <w:t>Our current investigation indicates that the image was {{UPLOADED / CACHED / PROXIED / HOTLINKED / EMBEDDED / UNKNOWN}}. This statement is preliminary and subject to the requested records and further technical review.</w:t>
      </w:r>
    </w:p>
    <w:p>
      <w:pPr>
        <w:keepLines/>
      </w:pPr>
      <w:r>
        <w:t>{{OPTIONAL: Without admitting liability, the challenged image has been disabled pending review. This step is not an acknowledgment that the use was unauthorized or that the requested amount is due.}}</w:t>
      </w:r>
    </w:p>
    <w:p>
      <w:pPr>
        <w:keepLines/>
      </w:pPr>
      <w:r>
        <w:t>Please preserve all records relating to the claim, including capture data, request logs, timestamps, image URLs, redirects, notices, ownership documents, authority records, registration materials, and damages calculations. Please also confirm a reasonable pause in escalation while the requested information is supplied and reviewed.</w:t>
      </w:r>
    </w:p>
    <w:p>
      <w:pPr>
        <w:keepLines/>
      </w:pPr>
      <w:r>
        <w:t>Nothing in this letter waives any defense, limitation, license, authorization, safe harbor, jurisdictional objection, procedural protection, or challenge to standing, ownership, causation, damages, fees, or remedies. No settlement is accepted unless stated in a separate writing signed by an authorized representative.</w:t>
      </w:r>
    </w:p>
    <w:p>
      <w:pPr>
        <w:keepLines/>
      </w:pPr>
      <w:r>
        <w:t>Sincerely,</w:t>
        <w:br/>
        <w:br/>
        <w:t>{{NAME}}</w:t>
        <w:br/>
        <w:t>{{TITLE}}</w:t>
        <w:br/>
        <w:t>{{ENTITY}}</w:t>
        <w:br/>
        <w:t>{{CONTACT_INFORMATION}}</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FFF7E6"/>
            <w:tcMar>
              <w:top w:w="80" w:type="dxa"/>
              <w:start w:w="120" w:type="dxa"/>
              <w:bottom w:w="80" w:type="dxa"/>
              <w:end w:w="120" w:type="dxa"/>
            </w:tcMar>
            <w:vAlign w:val="top"/>
          </w:tcPr>
          <w:p>
            <w:r/>
            <w:r>
              <w:rPr>
                <w:b/>
                <w:color w:val="B42318"/>
              </w:rPr>
              <w:t>Before sending</w:t>
            </w:r>
            <w:r>
              <w:br/>
              <w:t>Remove unused alternatives and editorial notes. Verify every factual statement. Do not claim fair use, a license, or a particular delivery route unless the evidence supports it. Consider counsel review for material demands or threatened litigation.</w:t>
            </w:r>
          </w:p>
        </w:tc>
      </w:tr>
    </w:tbl>
    <w:p>
      <w:pPr>
        <w:spacing w:after="0"/>
      </w:pPr>
    </w:p>
    <w:p>
      <w:pPr>
        <w:sectPr>
          <w:headerReference w:type="default" r:id="rId64"/>
          <w:footerReference w:type="default" r:id="rId65"/>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10. Technical declaration worksheet</w:t>
      </w:r>
    </w:p>
    <w:tbl>
      <w:tblPr>
        <w:tblStyle w:val="TableGrid"/>
        <w:tblW w:type="dxa" w:w="9360"/>
        <w:jc w:val="left"/>
        <w:tblLayout w:type="fixed"/>
        <w:tblLook w:firstColumn="1" w:firstRow="1" w:lastColumn="0" w:lastRow="0" w:noHBand="0" w:noVBand="1" w:val="04A0"/>
      </w:tblPr>
      <w:tblGrid>
        <w:gridCol w:w="2600"/>
        <w:gridCol w:w="6760"/>
      </w:tblGrid>
      <w:tr>
        <w:trPr>
          <w:cantSplit/>
          <w:tblHeader w:val="true"/>
        </w:trPr>
        <w:tc>
          <w:tcPr>
            <w:tcW w:type="dxa" w:w="2600"/>
            <w:shd w:fill="F2F4F7"/>
            <w:tcMar>
              <w:top w:w="80" w:type="dxa"/>
              <w:start w:w="120" w:type="dxa"/>
              <w:bottom w:w="80" w:type="dxa"/>
              <w:end w:w="120" w:type="dxa"/>
            </w:tcMar>
            <w:vAlign w:val="top"/>
          </w:tcPr>
          <w:p>
            <w:r>
              <w:rPr>
                <w:b/>
              </w:rPr>
              <w:t>Collector and role</w:t>
            </w:r>
          </w:p>
        </w:tc>
        <w:tc>
          <w:tcPr>
            <w:tcW w:type="dxa" w:w="6760"/>
            <w:tcMar>
              <w:top w:w="80" w:type="dxa"/>
              <w:start w:w="120" w:type="dxa"/>
              <w:bottom w:w="80" w:type="dxa"/>
              <w:end w:w="120" w:type="dxa"/>
            </w:tcMar>
            <w:vAlign w:val="top"/>
          </w:tcPr>
          <w:p>
            <w:r>
              <w:t>{{NAME_ROLE}}</w:t>
            </w:r>
          </w:p>
        </w:tc>
      </w:tr>
      <w:tr>
        <w:trPr>
          <w:cantSplit/>
        </w:trPr>
        <w:tc>
          <w:tcPr>
            <w:tcW w:type="dxa" w:w="2600"/>
            <w:shd w:fill="F2F4F7"/>
            <w:tcMar>
              <w:top w:w="80" w:type="dxa"/>
              <w:start w:w="120" w:type="dxa"/>
              <w:bottom w:w="80" w:type="dxa"/>
              <w:end w:w="120" w:type="dxa"/>
            </w:tcMar>
            <w:vAlign w:val="top"/>
          </w:tcPr>
          <w:p>
            <w:r>
              <w:rPr>
                <w:b/>
              </w:rPr>
              <w:t>Collection date/time/time zone</w:t>
            </w:r>
          </w:p>
        </w:tc>
        <w:tc>
          <w:tcPr>
            <w:tcW w:type="dxa" w:w="6760"/>
            <w:tcMar>
              <w:top w:w="80" w:type="dxa"/>
              <w:start w:w="120" w:type="dxa"/>
              <w:bottom w:w="80" w:type="dxa"/>
              <w:end w:w="120" w:type="dxa"/>
            </w:tcMar>
            <w:vAlign w:val="top"/>
          </w:tcPr>
          <w:p>
            <w:r>
              <w:t>{{TIMESTAMP_TIMEZONE}}</w:t>
            </w:r>
          </w:p>
        </w:tc>
      </w:tr>
      <w:tr>
        <w:trPr>
          <w:cantSplit/>
        </w:trPr>
        <w:tc>
          <w:tcPr>
            <w:tcW w:type="dxa" w:w="2600"/>
            <w:shd w:fill="F2F4F7"/>
            <w:tcMar>
              <w:top w:w="80" w:type="dxa"/>
              <w:start w:w="120" w:type="dxa"/>
              <w:bottom w:w="80" w:type="dxa"/>
              <w:end w:w="120" w:type="dxa"/>
            </w:tcMar>
            <w:vAlign w:val="top"/>
          </w:tcPr>
          <w:p>
            <w:r>
              <w:rPr>
                <w:b/>
              </w:rPr>
              <w:t>Device/browser/tools</w:t>
            </w:r>
          </w:p>
        </w:tc>
        <w:tc>
          <w:tcPr>
            <w:tcW w:type="dxa" w:w="6760"/>
            <w:tcMar>
              <w:top w:w="80" w:type="dxa"/>
              <w:start w:w="120" w:type="dxa"/>
              <w:bottom w:w="80" w:type="dxa"/>
              <w:end w:w="120" w:type="dxa"/>
            </w:tcMar>
            <w:vAlign w:val="top"/>
          </w:tcPr>
          <w:p>
            <w:r>
              <w:t>{{DEVICE_BROWSER_VERSION_TOOLS}}</w:t>
            </w:r>
          </w:p>
        </w:tc>
      </w:tr>
      <w:tr>
        <w:trPr>
          <w:cantSplit/>
        </w:trPr>
        <w:tc>
          <w:tcPr>
            <w:tcW w:type="dxa" w:w="2600"/>
            <w:shd w:fill="F2F4F7"/>
            <w:tcMar>
              <w:top w:w="80" w:type="dxa"/>
              <w:start w:w="120" w:type="dxa"/>
              <w:bottom w:w="80" w:type="dxa"/>
              <w:end w:w="120" w:type="dxa"/>
            </w:tcMar>
            <w:vAlign w:val="top"/>
          </w:tcPr>
          <w:p>
            <w:r>
              <w:rPr>
                <w:b/>
              </w:rPr>
              <w:t>Page and image URLs</w:t>
            </w:r>
          </w:p>
        </w:tc>
        <w:tc>
          <w:tcPr>
            <w:tcW w:type="dxa" w:w="6760"/>
            <w:tcMar>
              <w:top w:w="80" w:type="dxa"/>
              <w:start w:w="120" w:type="dxa"/>
              <w:bottom w:w="80" w:type="dxa"/>
              <w:end w:w="120" w:type="dxa"/>
            </w:tcMar>
            <w:vAlign w:val="top"/>
          </w:tcPr>
          <w:p>
            <w:r>
              <w:t>{{URLS}}</w:t>
            </w:r>
          </w:p>
        </w:tc>
      </w:tr>
      <w:tr>
        <w:trPr>
          <w:cantSplit/>
        </w:trPr>
        <w:tc>
          <w:tcPr>
            <w:tcW w:type="dxa" w:w="2600"/>
            <w:shd w:fill="F2F4F7"/>
            <w:tcMar>
              <w:top w:w="80" w:type="dxa"/>
              <w:start w:w="120" w:type="dxa"/>
              <w:bottom w:w="80" w:type="dxa"/>
              <w:end w:w="120" w:type="dxa"/>
            </w:tcMar>
            <w:vAlign w:val="top"/>
          </w:tcPr>
          <w:p>
            <w:r>
              <w:rPr>
                <w:b/>
              </w:rPr>
              <w:t>Observed request initiator</w:t>
            </w:r>
          </w:p>
        </w:tc>
        <w:tc>
          <w:tcPr>
            <w:tcW w:type="dxa" w:w="6760"/>
            <w:tcMar>
              <w:top w:w="80" w:type="dxa"/>
              <w:start w:w="120" w:type="dxa"/>
              <w:bottom w:w="80" w:type="dxa"/>
              <w:end w:w="120" w:type="dxa"/>
            </w:tcMar>
            <w:vAlign w:val="top"/>
          </w:tcPr>
          <w:p>
            <w:r>
              <w:t>{{HTML_CSS_JS_API_EMBED_UNKNOWN}}</w:t>
            </w:r>
          </w:p>
        </w:tc>
      </w:tr>
      <w:tr>
        <w:trPr>
          <w:cantSplit/>
        </w:trPr>
        <w:tc>
          <w:tcPr>
            <w:tcW w:type="dxa" w:w="2600"/>
            <w:shd w:fill="F2F4F7"/>
            <w:tcMar>
              <w:top w:w="80" w:type="dxa"/>
              <w:start w:w="120" w:type="dxa"/>
              <w:bottom w:w="80" w:type="dxa"/>
              <w:end w:w="120" w:type="dxa"/>
            </w:tcMar>
            <w:vAlign w:val="top"/>
          </w:tcPr>
          <w:p>
            <w:r>
              <w:rPr>
                <w:b/>
              </w:rPr>
              <w:t>Storage location</w:t>
            </w:r>
          </w:p>
        </w:tc>
        <w:tc>
          <w:tcPr>
            <w:tcW w:type="dxa" w:w="6760"/>
            <w:tcMar>
              <w:top w:w="80" w:type="dxa"/>
              <w:start w:w="120" w:type="dxa"/>
              <w:bottom w:w="80" w:type="dxa"/>
              <w:end w:w="120" w:type="dxa"/>
            </w:tcMar>
            <w:vAlign w:val="top"/>
          </w:tcPr>
          <w:p>
            <w:r>
              <w:t>{{CMS_DATABASE_OBJECT_STORAGE_NONE_UNKNOWN}}</w:t>
            </w:r>
          </w:p>
        </w:tc>
      </w:tr>
      <w:tr>
        <w:trPr>
          <w:cantSplit/>
        </w:trPr>
        <w:tc>
          <w:tcPr>
            <w:tcW w:type="dxa" w:w="2600"/>
            <w:shd w:fill="F2F4F7"/>
            <w:tcMar>
              <w:top w:w="80" w:type="dxa"/>
              <w:start w:w="120" w:type="dxa"/>
              <w:bottom w:w="80" w:type="dxa"/>
              <w:end w:w="120" w:type="dxa"/>
            </w:tcMar>
            <w:vAlign w:val="top"/>
          </w:tcPr>
          <w:p>
            <w:r>
              <w:rPr>
                <w:b/>
              </w:rPr>
              <w:t>Delivery route</w:t>
            </w:r>
          </w:p>
        </w:tc>
        <w:tc>
          <w:tcPr>
            <w:tcW w:type="dxa" w:w="6760"/>
            <w:tcMar>
              <w:top w:w="80" w:type="dxa"/>
              <w:start w:w="120" w:type="dxa"/>
              <w:bottom w:w="80" w:type="dxa"/>
              <w:end w:w="120" w:type="dxa"/>
            </w:tcMar>
            <w:vAlign w:val="top"/>
          </w:tcPr>
          <w:p>
            <w:r>
              <w:t>{{HOTLINK_PROXY_CACHE_UPLOAD_EMBED_UNKNOWN}}</w:t>
            </w:r>
          </w:p>
        </w:tc>
      </w:tr>
      <w:tr>
        <w:trPr>
          <w:cantSplit/>
        </w:trPr>
        <w:tc>
          <w:tcPr>
            <w:tcW w:type="dxa" w:w="2600"/>
            <w:shd w:fill="F2F4F7"/>
            <w:tcMar>
              <w:top w:w="80" w:type="dxa"/>
              <w:start w:w="120" w:type="dxa"/>
              <w:bottom w:w="80" w:type="dxa"/>
              <w:end w:w="120" w:type="dxa"/>
            </w:tcMar>
            <w:vAlign w:val="top"/>
          </w:tcPr>
          <w:p>
            <w:r>
              <w:rPr>
                <w:b/>
              </w:rPr>
              <w:t>Image hash / identifier</w:t>
            </w:r>
          </w:p>
        </w:tc>
        <w:tc>
          <w:tcPr>
            <w:tcW w:type="dxa" w:w="6760"/>
            <w:tcMar>
              <w:top w:w="80" w:type="dxa"/>
              <w:start w:w="120" w:type="dxa"/>
              <w:bottom w:w="80" w:type="dxa"/>
              <w:end w:w="120" w:type="dxa"/>
            </w:tcMar>
            <w:vAlign w:val="top"/>
          </w:tcPr>
          <w:p>
            <w:r>
              <w:t>{{SHA256_ETAG_ASSET_ID_UNKNOWN}}</w:t>
            </w:r>
          </w:p>
        </w:tc>
      </w:tr>
      <w:tr>
        <w:trPr>
          <w:cantSplit/>
        </w:trPr>
        <w:tc>
          <w:tcPr>
            <w:tcW w:type="dxa" w:w="2600"/>
            <w:shd w:fill="F2F4F7"/>
            <w:tcMar>
              <w:top w:w="80" w:type="dxa"/>
              <w:start w:w="120" w:type="dxa"/>
              <w:bottom w:w="80" w:type="dxa"/>
              <w:end w:w="120" w:type="dxa"/>
            </w:tcMar>
            <w:vAlign w:val="top"/>
          </w:tcPr>
          <w:p>
            <w:r>
              <w:rPr>
                <w:b/>
              </w:rPr>
              <w:t>Source metadata</w:t>
            </w:r>
          </w:p>
        </w:tc>
        <w:tc>
          <w:tcPr>
            <w:tcW w:type="dxa" w:w="6760"/>
            <w:tcMar>
              <w:top w:w="80" w:type="dxa"/>
              <w:start w:w="120" w:type="dxa"/>
              <w:bottom w:w="80" w:type="dxa"/>
              <w:end w:w="120" w:type="dxa"/>
            </w:tcMar>
            <w:vAlign w:val="top"/>
          </w:tcPr>
          <w:p>
            <w:r>
              <w:t>{{OG_X_JSONLD_OEMBED_API_NONE_UNKNOWN}}</w:t>
            </w:r>
          </w:p>
        </w:tc>
      </w:tr>
      <w:tr>
        <w:trPr>
          <w:cantSplit/>
        </w:trPr>
        <w:tc>
          <w:tcPr>
            <w:tcW w:type="dxa" w:w="2600"/>
            <w:shd w:fill="F2F4F7"/>
            <w:tcMar>
              <w:top w:w="80" w:type="dxa"/>
              <w:start w:w="120" w:type="dxa"/>
              <w:bottom w:w="80" w:type="dxa"/>
              <w:end w:w="120" w:type="dxa"/>
            </w:tcMar>
            <w:vAlign w:val="top"/>
          </w:tcPr>
          <w:p>
            <w:r>
              <w:rPr>
                <w:b/>
              </w:rPr>
              <w:t>Preserved files</w:t>
            </w:r>
          </w:p>
        </w:tc>
        <w:tc>
          <w:tcPr>
            <w:tcW w:type="dxa" w:w="6760"/>
            <w:tcMar>
              <w:top w:w="80" w:type="dxa"/>
              <w:start w:w="120" w:type="dxa"/>
              <w:bottom w:w="80" w:type="dxa"/>
              <w:end w:w="120" w:type="dxa"/>
            </w:tcMar>
            <w:vAlign w:val="top"/>
          </w:tcPr>
          <w:p>
            <w:r>
              <w:t>{{FILENAMES_AND_LOCATIONS}}</w:t>
            </w:r>
          </w:p>
        </w:tc>
      </w:tr>
      <w:tr>
        <w:trPr>
          <w:cantSplit/>
        </w:trPr>
        <w:tc>
          <w:tcPr>
            <w:tcW w:type="dxa" w:w="2600"/>
            <w:shd w:fill="F2F4F7"/>
            <w:tcMar>
              <w:top w:w="80" w:type="dxa"/>
              <w:start w:w="120" w:type="dxa"/>
              <w:bottom w:w="80" w:type="dxa"/>
              <w:end w:w="120" w:type="dxa"/>
            </w:tcMar>
            <w:vAlign w:val="top"/>
          </w:tcPr>
          <w:p>
            <w:r>
              <w:rPr>
                <w:b/>
              </w:rPr>
              <w:t>Known limitations</w:t>
            </w:r>
          </w:p>
        </w:tc>
        <w:tc>
          <w:tcPr>
            <w:tcW w:type="dxa" w:w="6760"/>
            <w:tcMar>
              <w:top w:w="80" w:type="dxa"/>
              <w:start w:w="120" w:type="dxa"/>
              <w:bottom w:w="80" w:type="dxa"/>
              <w:end w:w="120" w:type="dxa"/>
            </w:tcMar>
            <w:vAlign w:val="top"/>
          </w:tcPr>
          <w:p>
            <w:r>
              <w:t>{{MISSING_LOGS_CURRENT_ONLY_ARCHIVE_GAPS_OTHER}}</w:t>
            </w:r>
          </w:p>
        </w:tc>
      </w:tr>
    </w:tbl>
    <w:p>
      <w:pPr>
        <w:spacing w:after="0"/>
      </w:pPr>
    </w:p>
    <w:p>
      <w:pPr>
        <w:keepLines/>
      </w:pPr>
      <w:r>
        <w:t>I declare that the statements above describe my technical observations and collection process to the best of my knowledge. I have distinguished direct observation from inference and identified material limitations.</w:t>
      </w:r>
    </w:p>
    <w:p>
      <w:pPr>
        <w:keepLines/>
      </w:pPr>
      <w:r>
        <w:t>Signature: ______________________________    Date: __________________</w:t>
      </w:r>
    </w:p>
    <w:p>
      <w:pPr>
        <w:pStyle w:val="SmallText"/>
        <w:keepLines/>
      </w:pPr>
      <w:r>
        <w:t>This worksheet is not a substitute for jurisdiction-specific declaration or affidavit requirements.</w:t>
      </w:r>
    </w:p>
    <w:p>
      <w:pPr>
        <w:sectPr>
          <w:headerReference w:type="default" r:id="rId66"/>
          <w:footerReference w:type="default" r:id="rId67"/>
          <w:pgSz w:w="12240" w:h="15840"/>
          <w:pgMar w:top="1440" w:right="1440" w:bottom="1584" w:left="1440" w:header="708" w:footer="708" w:gutter="0"/>
          <w:cols w:space="720"/>
          <w:docGrid w:linePitch="360"/>
        </w:sectPr>
      </w:pPr>
    </w:p>
    <w:p>
      <w:pPr>
        <w:spacing w:after="480"/>
      </w:pPr>
      <w:r>
        <w:rPr>
          <w:sz w:val="2"/>
        </w:rPr>
        <w:t xml:space="preserve"> </w:t>
      </w:r>
    </w:p>
    <w:p>
      <w:pPr>
        <w:pStyle w:val="Heading1"/>
      </w:pPr>
      <w:r>
        <w:t>11. Authoritative starting points</w:t>
      </w:r>
    </w:p>
    <w:p>
      <w:pPr>
        <w:keepLines/>
      </w:pPr>
      <w:hyperlink r:id="rId70">
        <w:r>
          <w:rPr>
            <w:color w:val="2E74B5"/>
            <w:u w:val="single"/>
          </w:rPr>
          <w:t>U.S. Copyright Office — Fair Use Index</w:t>
        </w:r>
      </w:hyperlink>
      <w:r>
        <w:rPr>
          <w:sz w:val="18"/>
        </w:rPr>
        <w:br/>
        <w:t>https://www.copyright.gov/fair-use/</w:t>
      </w:r>
    </w:p>
    <w:p>
      <w:pPr>
        <w:keepLines/>
      </w:pPr>
      <w:hyperlink r:id="rId71">
        <w:r>
          <w:rPr>
            <w:color w:val="2E74B5"/>
            <w:u w:val="single"/>
          </w:rPr>
          <w:t>17 U.S.C. § 107 — Fair use</w:t>
        </w:r>
      </w:hyperlink>
      <w:r>
        <w:rPr>
          <w:sz w:val="18"/>
        </w:rPr>
        <w:br/>
        <w:t>https://www.copyright.gov/title17/92chap1.html#107</w:t>
      </w:r>
    </w:p>
    <w:p>
      <w:pPr>
        <w:keepLines/>
      </w:pPr>
      <w:hyperlink r:id="rId72">
        <w:r>
          <w:rPr>
            <w:color w:val="2E74B5"/>
            <w:u w:val="single"/>
          </w:rPr>
          <w:t>17 U.S.C. § 512 — System caching and safe harbors</w:t>
        </w:r>
      </w:hyperlink>
      <w:r>
        <w:rPr>
          <w:sz w:val="18"/>
        </w:rPr>
        <w:br/>
        <w:t>https://www.copyright.gov/title17/92chap5.html#512</w:t>
      </w:r>
    </w:p>
    <w:p>
      <w:pPr>
        <w:keepLines/>
      </w:pPr>
      <w:hyperlink r:id="rId73">
        <w:r>
          <w:rPr>
            <w:color w:val="2E74B5"/>
            <w:u w:val="single"/>
          </w:rPr>
          <w:t>17 U.S.C. § 412 — Registration and remedies</w:t>
        </w:r>
      </w:hyperlink>
      <w:r>
        <w:rPr>
          <w:sz w:val="18"/>
        </w:rPr>
        <w:br/>
        <w:t>https://www.copyright.gov/title17/92chap4.html#412</w:t>
      </w:r>
    </w:p>
    <w:p>
      <w:pPr>
        <w:keepLines/>
      </w:pPr>
      <w:hyperlink r:id="rId74">
        <w:r>
          <w:rPr>
            <w:color w:val="2E74B5"/>
            <w:u w:val="single"/>
          </w:rPr>
          <w:t>17 U.S.C. § 504 — Damages and profits</w:t>
        </w:r>
      </w:hyperlink>
      <w:r>
        <w:rPr>
          <w:sz w:val="18"/>
        </w:rPr>
        <w:br/>
        <w:t>https://www.copyright.gov/title17/92chap5.html#504</w:t>
      </w:r>
    </w:p>
    <w:p>
      <w:pPr>
        <w:keepLines/>
      </w:pPr>
      <w:hyperlink r:id="rId75">
        <w:r>
          <w:rPr>
            <w:color w:val="2E74B5"/>
            <w:u w:val="single"/>
          </w:rPr>
          <w:t>Kelly v. Arriba Soft — Copyright Office summary</w:t>
        </w:r>
      </w:hyperlink>
      <w:r>
        <w:rPr>
          <w:sz w:val="18"/>
        </w:rPr>
        <w:br/>
        <w:t>https://www.copyright.gov/fair-use/summaries/kelly-arriba-9thcir2003.pdf</w:t>
      </w:r>
    </w:p>
    <w:p>
      <w:pPr>
        <w:keepLines/>
      </w:pPr>
      <w:hyperlink r:id="rId38">
        <w:r>
          <w:rPr>
            <w:color w:val="2E74B5"/>
            <w:u w:val="single"/>
          </w:rPr>
          <w:t>U.S. Supreme Court — Andy Warhol Foundation v. Goldsmith</w:t>
        </w:r>
      </w:hyperlink>
      <w:r>
        <w:rPr>
          <w:sz w:val="18"/>
        </w:rPr>
        <w:br/>
        <w:t>https://www.supremecourt.gov/opinions/22pdf/21-869_87ad.pdf</w:t>
      </w:r>
    </w:p>
    <w:p>
      <w:pPr>
        <w:keepLines/>
      </w:pPr>
      <w:hyperlink r:id="rId76">
        <w:r>
          <w:rPr>
            <w:color w:val="2E74B5"/>
            <w:u w:val="single"/>
          </w:rPr>
          <w:t>oEmbed specification</w:t>
        </w:r>
      </w:hyperlink>
      <w:r>
        <w:rPr>
          <w:sz w:val="18"/>
        </w:rPr>
        <w:br/>
        <w:t>https://oembed.com/</w:t>
      </w:r>
    </w:p>
    <w:p>
      <w:pPr>
        <w:keepLines/>
      </w:pPr>
      <w:hyperlink r:id="rId77">
        <w:r>
          <w:rPr>
            <w:color w:val="2E74B5"/>
            <w:u w:val="single"/>
          </w:rPr>
          <w:t>Open Graph protocol</w:t>
        </w:r>
      </w:hyperlink>
      <w:r>
        <w:rPr>
          <w:sz w:val="18"/>
        </w:rPr>
        <w:br/>
        <w:t>https://ogp.me/</w:t>
      </w:r>
    </w:p>
    <w:p>
      <w:pPr>
        <w:keepLines/>
      </w:pPr>
      <w:hyperlink r:id="rId78">
        <w:r>
          <w:rPr>
            <w:color w:val="2E74B5"/>
            <w:u w:val="single"/>
          </w:rPr>
          <w:t>Schema.org — Article</w:t>
        </w:r>
      </w:hyperlink>
      <w:r>
        <w:rPr>
          <w:sz w:val="18"/>
        </w:rPr>
        <w:br/>
        <w:t>https://schema.org/Article</w:t>
      </w:r>
    </w:p>
    <w:p>
      <w:pPr>
        <w:keepLines/>
      </w:pPr>
      <w:hyperlink r:id="rId79">
        <w:r>
          <w:rPr>
            <w:color w:val="2E74B5"/>
            <w:u w:val="single"/>
          </w:rPr>
          <w:t>Google Search — Article structured data</w:t>
        </w:r>
      </w:hyperlink>
      <w:r>
        <w:rPr>
          <w:sz w:val="18"/>
        </w:rPr>
        <w:br/>
        <w:t>https://developers.google.com/search/docs/appearance/structured-data/article</w:t>
      </w:r>
    </w:p>
    <w:p>
      <w:pPr>
        <w:keepLines/>
      </w:pPr>
      <w:hyperlink r:id="rId80">
        <w:r>
          <w:rPr>
            <w:color w:val="2E74B5"/>
            <w:u w:val="single"/>
          </w:rPr>
          <w:t>U.S. Copyright Office — Public records</w:t>
        </w:r>
      </w:hyperlink>
      <w:r>
        <w:rPr>
          <w:sz w:val="18"/>
        </w:rPr>
        <w:br/>
        <w:t>https://www.copyright.gov/public-records/</w:t>
      </w:r>
    </w:p>
    <w:p>
      <w:pPr>
        <w:keepLines/>
      </w:pPr>
      <w:hyperlink r:id="rId81">
        <w:r>
          <w:rPr>
            <w:color w:val="2E74B5"/>
            <w:u w:val="single"/>
          </w:rPr>
          <w:t>FTC — ReportFraud</w:t>
        </w:r>
      </w:hyperlink>
      <w:r>
        <w:rPr>
          <w:sz w:val="18"/>
        </w:rPr>
        <w:br/>
        <w:t>https://reportfraud.ftc.gov/</w:t>
      </w:r>
    </w:p>
    <w:p>
      <w:pPr>
        <w:keepLines/>
      </w:pPr>
      <w:hyperlink r:id="rId82">
        <w:r>
          <w:rPr>
            <w:color w:val="2E74B5"/>
            <w:u w:val="single"/>
          </w:rPr>
          <w:t>FBI — Internet Crime Complaint Center</w:t>
        </w:r>
      </w:hyperlink>
      <w:r>
        <w:rPr>
          <w:sz w:val="18"/>
        </w:rPr>
        <w:br/>
        <w:t>https://www.ic3.gov/</w:t>
      </w:r>
    </w:p>
    <w:tbl>
      <w:tblPr>
        <w:tblStyle w:val="TableGrid"/>
        <w:tblW w:type="dxa" w:w="9360"/>
        <w:jc w:val="left"/>
        <w:tblLayout w:type="fixed"/>
        <w:tblLook w:firstColumn="1" w:firstRow="1" w:lastColumn="0" w:lastRow="0" w:noHBand="0" w:noVBand="1" w:val="04A0"/>
      </w:tblPr>
      <w:tblGrid>
        <w:gridCol w:w="9360"/>
      </w:tblGrid>
      <w:tr>
        <w:trPr>
          <w:tblHeader w:val="true"/>
          <w:cantSplit/>
        </w:trPr>
        <w:tc>
          <w:tcPr>
            <w:tcW w:type="dxa" w:w="9360"/>
            <w:shd w:fill="FFF7E6"/>
            <w:tcMar>
              <w:top w:w="80" w:type="dxa"/>
              <w:start w:w="120" w:type="dxa"/>
              <w:bottom w:w="80" w:type="dxa"/>
              <w:end w:w="120" w:type="dxa"/>
            </w:tcMar>
            <w:vAlign w:val="top"/>
          </w:tcPr>
          <w:p>
            <w:r/>
            <w:r>
              <w:rPr>
                <w:b/>
                <w:color w:val="B42318"/>
              </w:rPr>
              <w:t>Publication note</w:t>
            </w:r>
            <w:r>
              <w:br/>
              <w:t>Keep source links current, identify the jurisdiction covered, state the revision date, and retain the general-information disclaimer. Do not publish private correspondence, personal data, access tokens, privileged advice, or unverified accusations.</w:t>
            </w:r>
          </w:p>
        </w:tc>
      </w:tr>
    </w:tbl>
    <w:p>
      <w:pPr>
        <w:spacing w:after="0"/>
      </w:pPr>
    </w:p>
    <w:p>
      <w:pPr>
        <w:pStyle w:val="SmallText"/>
        <w:keepLines/>
      </w:pPr>
      <w:r>
        <w:t>Revision: 2.0 — August 15, 2026 — ImageClaimResponse.org</w:t>
      </w:r>
    </w:p>
    <w:sectPr w:rsidR="00FC693F" w:rsidRPr="0006063C" w:rsidSect="00034616">
      <w:headerReference w:type="default" r:id="rId68"/>
      <w:footerReference w:type="default" r:id="rId69"/>
      <w:pgSz w:w="12240" w:h="15840"/>
      <w:pgMar w:top="1440" w:right="1440" w:bottom="1584"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1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2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2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2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2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2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2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2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2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2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2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3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3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General information — customize for your jurisdiction  |  Page </w:t>
    </w:r>
    <w:r>
      <w:fldChar w:fldCharType="begin"/>
      <w:instrText xml:space="preserve"> PAGE </w:instrTex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7"/>
      </w:rPr>
      <w:t xml:space="preserve">Prepared August 14, 2026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1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1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1F4D78"/>
        <w:sz w:val="17"/>
      </w:rPr>
      <w:t>IMAGECLAIMRESPONSE.ORG — IMAGE CLAIM RESPONSE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pPr>
      <w:rPr>
        <w:rFonts w:ascii="Symbol" w:hAnsi="Symbol"/>
      </w:rPr>
    </w:lvl>
  </w:abstractNum>
  <w:num w:numId="10">
    <w:abstractNumId w:val="9"/>
  </w:num>
  <w:abstractNum w:abstractNumId="10">
    <w:multiLevelType w:val="singleLevel"/>
    <w:lvl w:ilvl="0">
      <w:start w:val="1"/>
      <w:numFmt w:val="decimal"/>
      <w:lvlText w:val="%1."/>
      <w:suff w:val="tab"/>
      <w:pPr>
        <w:tabs>
          <w:tab w:val="num" w:pos="720"/>
        </w:tabs>
        <w:ind w:left="720" w:hanging="360"/>
      </w:pPr>
    </w:lvl>
  </w:abstractNum>
  <w:num w:numId="11">
    <w:abstractNumId w:val="10"/>
  </w:num>
  <w:abstractNum w:abstractNumId="11">
    <w:multiLevelType w:val="singleLevel"/>
    <w:lvl w:ilvl="0">
      <w:start w:val="1"/>
      <w:numFmt w:val="decimal"/>
      <w:lvlText w:val="%1."/>
      <w:suff w:val="tab"/>
      <w:pPr>
        <w:tabs>
          <w:tab w:val="num" w:pos="720"/>
        </w:tabs>
        <w:ind w:left="720" w:hanging="360"/>
      </w:pPr>
    </w:lvl>
  </w:abstractNum>
  <w:num w:numId="12">
    <w:abstractNumId w:val="11"/>
  </w:num>
  <w:abstractNum w:abstractNumId="12">
    <w:multiLevelType w:val="singleLevel"/>
    <w:lvl w:ilvl="0">
      <w:start w:val="1"/>
      <w:numFmt w:val="decimal"/>
      <w:lvlText w:val="%1."/>
      <w:suff w:val="tab"/>
      <w:pPr>
        <w:tabs>
          <w:tab w:val="num" w:pos="720"/>
        </w:tabs>
        <w:ind w:left="720" w:hanging="360"/>
      </w:pPr>
    </w:lvl>
  </w:abstractNum>
  <w:num w:numId="13">
    <w:abstractNumId w:val="12"/>
  </w:num>
  <w:abstractNum w:abstractNumId="13">
    <w:multiLevelType w:val="singleLevel"/>
    <w:lvl w:ilvl="0">
      <w:start w:val="1"/>
      <w:numFmt w:val="decimal"/>
      <w:lvlText w:val="%1."/>
      <w:suff w:val="tab"/>
      <w:pPr>
        <w:tabs>
          <w:tab w:val="num" w:pos="720"/>
        </w:tabs>
        <w:ind w:left="720" w:hanging="360"/>
      </w:pPr>
    </w:lvl>
  </w:abstractNum>
  <w:num w:numId="14">
    <w:abstractNumId w:val="13"/>
  </w:num>
  <w:abstractNum w:abstractNumId="14">
    <w:multiLevelType w:val="singleLevel"/>
    <w:lvl w:ilvl="0">
      <w:start w:val="1"/>
      <w:numFmt w:val="decimal"/>
      <w:lvlText w:val="%1."/>
      <w:suff w:val="tab"/>
      <w:pPr>
        <w:tabs>
          <w:tab w:val="num" w:pos="720"/>
        </w:tabs>
        <w:ind w:left="720" w:hanging="360"/>
      </w:pPr>
    </w:lvl>
  </w:abstract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01828"/>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20"/>
    </w:pPr>
    <w:rPr>
      <w:rFonts w:asciiTheme="majorHAnsi" w:eastAsiaTheme="majorEastAsia" w:hAnsiTheme="majorHAnsi" w:cstheme="majorBidi" w:ascii="Calibri" w:hAnsi="Calibri"/>
      <w:b w:val="0"/>
      <w:i/>
      <w:iCs/>
      <w:color w:val="66708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80" w:line="252" w:lineRule="auto"/>
    </w:pPr>
    <w:rPr>
      <w:rFonts w:ascii="Calibri" w:hAnsi="Calibri"/>
      <w:color w:val="667085"/>
      <w:sz w:val="18"/>
    </w:rPr>
  </w:style>
  <w:style w:type="paragraph" w:customStyle="1" w:styleId="Callout">
    <w:name w:val="Callout"/>
    <w:pPr>
      <w:spacing w:before="80" w:after="160"/>
      <w:ind w:left="288" w:right="288"/>
    </w:pPr>
    <w:rPr>
      <w:rFonts w:ascii="Calibri" w:hAnsi="Calibri"/>
      <w:color w:val="10182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footer" Target="footer11.xml"/><Relationship Id="rId20" Type="http://schemas.openxmlformats.org/officeDocument/2006/relationships/footer" Target="footer12.xml"/><Relationship Id="rId21" Type="http://schemas.openxmlformats.org/officeDocument/2006/relationships/footer" Target="footer13.xml"/><Relationship Id="rId22" Type="http://schemas.openxmlformats.org/officeDocument/2006/relationships/footer" Target="footer14.xml"/><Relationship Id="rId23" Type="http://schemas.openxmlformats.org/officeDocument/2006/relationships/footer" Target="footer15.xml"/><Relationship Id="rId24" Type="http://schemas.openxmlformats.org/officeDocument/2006/relationships/footer" Target="footer16.xml"/><Relationship Id="rId25" Type="http://schemas.openxmlformats.org/officeDocument/2006/relationships/footer" Target="footer17.xml"/><Relationship Id="rId26" Type="http://schemas.openxmlformats.org/officeDocument/2006/relationships/footer" Target="footer18.xml"/><Relationship Id="rId27" Type="http://schemas.openxmlformats.org/officeDocument/2006/relationships/footer" Target="footer19.xml"/><Relationship Id="rId28" Type="http://schemas.openxmlformats.org/officeDocument/2006/relationships/footer" Target="footer20.xml"/><Relationship Id="rId29" Type="http://schemas.openxmlformats.org/officeDocument/2006/relationships/footer" Target="footer21.xml"/><Relationship Id="rId30" Type="http://schemas.openxmlformats.org/officeDocument/2006/relationships/footer" Target="footer22.xml"/><Relationship Id="rId31" Type="http://schemas.openxmlformats.org/officeDocument/2006/relationships/footer" Target="footer23.xml"/><Relationship Id="rId32" Type="http://schemas.openxmlformats.org/officeDocument/2006/relationships/footer" Target="footer24.xml"/><Relationship Id="rId38" Type="http://schemas.openxmlformats.org/officeDocument/2006/relationships/hyperlink" Target="https://www.supremecourt.gov/opinions/22pdf/21-869_87ad.pdf" TargetMode="External"/><Relationship Id="rId45" Type="http://schemas.openxmlformats.org/officeDocument/2006/relationships/header" Target="header1.xml"/><Relationship Id="rId46" Type="http://schemas.openxmlformats.org/officeDocument/2006/relationships/header" Target="header2.xml"/><Relationship Id="rId47" Type="http://schemas.openxmlformats.org/officeDocument/2006/relationships/footer" Target="footer25.xml"/><Relationship Id="rId48" Type="http://schemas.openxmlformats.org/officeDocument/2006/relationships/header" Target="header3.xml"/><Relationship Id="rId49" Type="http://schemas.openxmlformats.org/officeDocument/2006/relationships/footer" Target="footer26.xml"/><Relationship Id="rId50" Type="http://schemas.openxmlformats.org/officeDocument/2006/relationships/header" Target="header4.xml"/><Relationship Id="rId51" Type="http://schemas.openxmlformats.org/officeDocument/2006/relationships/footer" Target="footer27.xml"/><Relationship Id="rId52" Type="http://schemas.openxmlformats.org/officeDocument/2006/relationships/header" Target="header5.xml"/><Relationship Id="rId53" Type="http://schemas.openxmlformats.org/officeDocument/2006/relationships/footer" Target="footer28.xml"/><Relationship Id="rId54" Type="http://schemas.openxmlformats.org/officeDocument/2006/relationships/header" Target="header6.xml"/><Relationship Id="rId55" Type="http://schemas.openxmlformats.org/officeDocument/2006/relationships/footer" Target="footer29.xml"/><Relationship Id="rId56" Type="http://schemas.openxmlformats.org/officeDocument/2006/relationships/header" Target="header7.xml"/><Relationship Id="rId57" Type="http://schemas.openxmlformats.org/officeDocument/2006/relationships/footer" Target="footer30.xml"/><Relationship Id="rId58" Type="http://schemas.openxmlformats.org/officeDocument/2006/relationships/header" Target="header8.xml"/><Relationship Id="rId59" Type="http://schemas.openxmlformats.org/officeDocument/2006/relationships/footer" Target="footer31.xml"/><Relationship Id="rId60" Type="http://schemas.openxmlformats.org/officeDocument/2006/relationships/header" Target="header9.xml"/><Relationship Id="rId61" Type="http://schemas.openxmlformats.org/officeDocument/2006/relationships/footer" Target="footer32.xml"/><Relationship Id="rId62" Type="http://schemas.openxmlformats.org/officeDocument/2006/relationships/header" Target="header10.xml"/><Relationship Id="rId63" Type="http://schemas.openxmlformats.org/officeDocument/2006/relationships/footer" Target="footer33.xml"/><Relationship Id="rId64" Type="http://schemas.openxmlformats.org/officeDocument/2006/relationships/header" Target="header11.xml"/><Relationship Id="rId65" Type="http://schemas.openxmlformats.org/officeDocument/2006/relationships/footer" Target="footer34.xml"/><Relationship Id="rId66" Type="http://schemas.openxmlformats.org/officeDocument/2006/relationships/header" Target="header12.xml"/><Relationship Id="rId67" Type="http://schemas.openxmlformats.org/officeDocument/2006/relationships/footer" Target="footer35.xml"/><Relationship Id="rId68" Type="http://schemas.openxmlformats.org/officeDocument/2006/relationships/header" Target="header13.xml"/><Relationship Id="rId69" Type="http://schemas.openxmlformats.org/officeDocument/2006/relationships/footer" Target="footer36.xml"/><Relationship Id="rId70" Type="http://schemas.openxmlformats.org/officeDocument/2006/relationships/hyperlink" Target="https://www.copyright.gov/fair-use/" TargetMode="External"/><Relationship Id="rId71" Type="http://schemas.openxmlformats.org/officeDocument/2006/relationships/hyperlink" Target="https://www.copyright.gov/title17/92chap1.html#107" TargetMode="External"/><Relationship Id="rId72" Type="http://schemas.openxmlformats.org/officeDocument/2006/relationships/hyperlink" Target="https://www.copyright.gov/title17/92chap5.html#512" TargetMode="External"/><Relationship Id="rId73" Type="http://schemas.openxmlformats.org/officeDocument/2006/relationships/hyperlink" Target="https://www.copyright.gov/title17/92chap4.html#412" TargetMode="External"/><Relationship Id="rId74" Type="http://schemas.openxmlformats.org/officeDocument/2006/relationships/hyperlink" Target="https://www.copyright.gov/title17/92chap5.html#504" TargetMode="External"/><Relationship Id="rId75" Type="http://schemas.openxmlformats.org/officeDocument/2006/relationships/hyperlink" Target="https://www.copyright.gov/fair-use/summaries/kelly-arriba-9thcir2003.pdf" TargetMode="External"/><Relationship Id="rId76" Type="http://schemas.openxmlformats.org/officeDocument/2006/relationships/hyperlink" Target="https://oembed.com/" TargetMode="External"/><Relationship Id="rId77" Type="http://schemas.openxmlformats.org/officeDocument/2006/relationships/hyperlink" Target="https://ogp.me/" TargetMode="External"/><Relationship Id="rId78" Type="http://schemas.openxmlformats.org/officeDocument/2006/relationships/hyperlink" Target="https://schema.org/Article" TargetMode="External"/><Relationship Id="rId79" Type="http://schemas.openxmlformats.org/officeDocument/2006/relationships/hyperlink" Target="https://developers.google.com/search/docs/appearance/structured-data/article" TargetMode="External"/><Relationship Id="rId80" Type="http://schemas.openxmlformats.org/officeDocument/2006/relationships/hyperlink" Target="https://www.copyright.gov/public-records/" TargetMode="External"/><Relationship Id="rId81" Type="http://schemas.openxmlformats.org/officeDocument/2006/relationships/hyperlink" Target="https://reportfraud.ftc.gov/" TargetMode="External"/><Relationship Id="rId82" Type="http://schemas.openxmlformats.org/officeDocument/2006/relationships/hyperlink" Target="https://www.ic3.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Image Claim Assessment, Evidence Request, and Response Template</dc:title>
  <dc:subject>General-use template for responding to image copyright claims</dc:subject>
  <dc:creator/>
  <cp:keywords>copyright; photograph; aggregation; social metadata; fair use; evidence request</cp:keywords>
  <dc:description>Public general-information template. Not legal advice.</dc:description>
  <cp:lastModifiedBy/>
  <cp:revision>1</cp:revision>
  <dcterms:created xsi:type="dcterms:W3CDTF">2013-12-23T23:15:00Z</dcterms:created>
  <dcterms:modified xsi:type="dcterms:W3CDTF">2013-12-23T23:15:00Z</dcterms:modified>
  <cp:category>Template</cp:category>
  <dc:identifier/>
  <dc:language>en-US</dc:language>
  <cp:version/>
  <cp:contentStatus/>
</cp:coreProperties>
</file>